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72" w:rsidRDefault="00CC1F72" w:rsidP="00CC1F72">
      <w:pPr>
        <w:jc w:val="center"/>
        <w:rPr>
          <w:rFonts w:ascii="Trebuchet MS" w:hAnsi="Trebuchet MS"/>
          <w:sz w:val="40"/>
          <w:szCs w:val="40"/>
        </w:rPr>
      </w:pPr>
      <w:r>
        <w:rPr>
          <w:rFonts w:ascii="Trebuchet MS" w:hAnsi="Trebuchet MS"/>
          <w:sz w:val="40"/>
          <w:szCs w:val="40"/>
        </w:rPr>
        <w:t xml:space="preserve">ECTIMA GANGRENOSO EN PEDIATRIA. </w:t>
      </w:r>
    </w:p>
    <w:p w:rsidR="00CC1F72" w:rsidRDefault="00CC1F72" w:rsidP="00CC1F72">
      <w:pPr>
        <w:jc w:val="center"/>
        <w:rPr>
          <w:rFonts w:ascii="Trebuchet MS" w:hAnsi="Trebuchet MS"/>
          <w:sz w:val="40"/>
          <w:szCs w:val="40"/>
        </w:rPr>
      </w:pPr>
      <w:r>
        <w:rPr>
          <w:rFonts w:ascii="Trebuchet MS" w:hAnsi="Trebuchet MS"/>
          <w:sz w:val="40"/>
          <w:szCs w:val="40"/>
        </w:rPr>
        <w:t>REPORTE DE CASO.</w:t>
      </w:r>
    </w:p>
    <w:p w:rsidR="00CC1F72" w:rsidRDefault="00CC1F72" w:rsidP="00CC1F72">
      <w:pPr>
        <w:jc w:val="center"/>
        <w:rPr>
          <w:rFonts w:ascii="Trebuchet MS" w:hAnsi="Trebuchet MS"/>
          <w:sz w:val="40"/>
          <w:szCs w:val="40"/>
        </w:rPr>
      </w:pPr>
    </w:p>
    <w:p w:rsidR="00CC1F72" w:rsidRDefault="00CC1F72" w:rsidP="00CC1F72">
      <w:pPr>
        <w:jc w:val="center"/>
        <w:rPr>
          <w:rFonts w:ascii="Trebuchet MS" w:hAnsi="Trebuchet MS"/>
          <w:sz w:val="40"/>
          <w:szCs w:val="40"/>
        </w:rPr>
      </w:pPr>
    </w:p>
    <w:p w:rsidR="00CC1F72" w:rsidRDefault="00CC1F72" w:rsidP="00CC1F72">
      <w:pPr>
        <w:jc w:val="center"/>
        <w:rPr>
          <w:rFonts w:ascii="Trebuchet MS" w:hAnsi="Trebuchet MS"/>
          <w:sz w:val="30"/>
          <w:szCs w:val="30"/>
        </w:rPr>
      </w:pPr>
      <w:r>
        <w:rPr>
          <w:rFonts w:ascii="Trebuchet MS" w:hAnsi="Trebuchet MS"/>
          <w:sz w:val="30"/>
          <w:szCs w:val="30"/>
        </w:rPr>
        <w:t>JUAN PABLO ROJAS H</w:t>
      </w:r>
      <w:r>
        <w:rPr>
          <w:rStyle w:val="Refdenotaalpie"/>
          <w:rFonts w:ascii="Trebuchet MS" w:hAnsi="Trebuchet MS"/>
          <w:sz w:val="30"/>
          <w:szCs w:val="30"/>
        </w:rPr>
        <w:footnoteReference w:id="2"/>
      </w:r>
    </w:p>
    <w:p w:rsidR="00CC1F72" w:rsidRDefault="00CC1F72" w:rsidP="00CC1F72">
      <w:pPr>
        <w:jc w:val="center"/>
        <w:rPr>
          <w:rFonts w:ascii="Trebuchet MS" w:hAnsi="Trebuchet MS"/>
          <w:sz w:val="30"/>
          <w:szCs w:val="30"/>
        </w:rPr>
      </w:pPr>
      <w:r>
        <w:rPr>
          <w:rFonts w:ascii="Trebuchet MS" w:hAnsi="Trebuchet MS"/>
          <w:sz w:val="30"/>
          <w:szCs w:val="30"/>
        </w:rPr>
        <w:t>JUAN MANUEL LOPEZ</w:t>
      </w:r>
      <w:r>
        <w:rPr>
          <w:rStyle w:val="Refdenotaalpie"/>
          <w:rFonts w:ascii="Trebuchet MS" w:hAnsi="Trebuchet MS"/>
          <w:sz w:val="30"/>
          <w:szCs w:val="30"/>
        </w:rPr>
        <w:footnoteReference w:id="3"/>
      </w:r>
    </w:p>
    <w:p w:rsidR="00CC1F72" w:rsidRDefault="00CC1F72" w:rsidP="00CC1F72">
      <w:pPr>
        <w:jc w:val="center"/>
        <w:rPr>
          <w:rFonts w:ascii="Trebuchet MS" w:hAnsi="Trebuchet MS"/>
          <w:sz w:val="30"/>
          <w:szCs w:val="30"/>
        </w:rPr>
      </w:pPr>
      <w:r>
        <w:rPr>
          <w:rFonts w:ascii="Trebuchet MS" w:hAnsi="Trebuchet MS"/>
          <w:sz w:val="30"/>
          <w:szCs w:val="30"/>
        </w:rPr>
        <w:t>YULY ANDREA MUÑOZ</w:t>
      </w:r>
      <w:r>
        <w:rPr>
          <w:rStyle w:val="Refdenotaalpie"/>
          <w:rFonts w:ascii="Trebuchet MS" w:hAnsi="Trebuchet MS"/>
          <w:sz w:val="30"/>
          <w:szCs w:val="30"/>
        </w:rPr>
        <w:footnoteReference w:id="4"/>
      </w:r>
      <w:r>
        <w:rPr>
          <w:rFonts w:ascii="Trebuchet MS" w:hAnsi="Trebuchet MS"/>
          <w:sz w:val="30"/>
          <w:szCs w:val="30"/>
        </w:rPr>
        <w:t xml:space="preserve"> </w:t>
      </w:r>
    </w:p>
    <w:p w:rsidR="00CC1F72" w:rsidRDefault="00CC1F72" w:rsidP="00CC1F72">
      <w:pPr>
        <w:jc w:val="center"/>
        <w:rPr>
          <w:rFonts w:ascii="Trebuchet MS" w:hAnsi="Trebuchet MS"/>
          <w:sz w:val="30"/>
          <w:szCs w:val="30"/>
        </w:rPr>
      </w:pPr>
      <w:r>
        <w:rPr>
          <w:rFonts w:ascii="Trebuchet MS" w:hAnsi="Trebuchet MS"/>
          <w:sz w:val="30"/>
          <w:szCs w:val="30"/>
        </w:rPr>
        <w:t>GUILLERMO GONZALEZ</w:t>
      </w:r>
      <w:r w:rsidR="00E85541">
        <w:rPr>
          <w:rFonts w:ascii="Trebuchet MS" w:hAnsi="Trebuchet MS"/>
          <w:sz w:val="30"/>
          <w:szCs w:val="30"/>
        </w:rPr>
        <w:t xml:space="preserve"> R.</w:t>
      </w:r>
      <w:r>
        <w:rPr>
          <w:rStyle w:val="Refdenotaalpie"/>
          <w:rFonts w:ascii="Trebuchet MS" w:hAnsi="Trebuchet MS"/>
          <w:sz w:val="30"/>
          <w:szCs w:val="30"/>
        </w:rPr>
        <w:footnoteReference w:id="5"/>
      </w:r>
    </w:p>
    <w:p w:rsidR="00CC1F72" w:rsidRDefault="00CC1F72" w:rsidP="00CC1F72">
      <w:pPr>
        <w:jc w:val="center"/>
        <w:rPr>
          <w:rFonts w:ascii="Trebuchet MS" w:hAnsi="Trebuchet MS"/>
          <w:sz w:val="30"/>
          <w:szCs w:val="30"/>
        </w:rPr>
      </w:pPr>
    </w:p>
    <w:p w:rsidR="00CC1F72" w:rsidRDefault="00CC1F72" w:rsidP="00CC1F72">
      <w:pPr>
        <w:rPr>
          <w:rFonts w:ascii="Trebuchet MS" w:hAnsi="Trebuchet MS"/>
          <w:sz w:val="30"/>
          <w:szCs w:val="30"/>
        </w:rPr>
      </w:pPr>
    </w:p>
    <w:p w:rsidR="00CC1F72" w:rsidRDefault="00CC1F72" w:rsidP="00CC1F72">
      <w:pPr>
        <w:rPr>
          <w:rFonts w:ascii="Trebuchet MS" w:hAnsi="Trebuchet MS"/>
          <w:sz w:val="30"/>
          <w:szCs w:val="30"/>
        </w:rPr>
      </w:pPr>
    </w:p>
    <w:p w:rsidR="00CC1F72" w:rsidRDefault="00CC1F72" w:rsidP="00CC1F72">
      <w:pPr>
        <w:pStyle w:val="Sinespaciado"/>
        <w:jc w:val="right"/>
        <w:rPr>
          <w:rFonts w:ascii="Trebuchet MS" w:hAnsi="Trebuchet MS" w:cs="Times New Roman"/>
          <w:sz w:val="24"/>
          <w:szCs w:val="24"/>
        </w:rPr>
      </w:pPr>
      <w:r>
        <w:rPr>
          <w:rFonts w:ascii="Trebuchet MS" w:hAnsi="Trebuchet MS" w:cs="Times New Roman"/>
          <w:b/>
          <w:sz w:val="24"/>
          <w:szCs w:val="24"/>
        </w:rPr>
        <w:t>Correspondencia:</w:t>
      </w:r>
      <w:r>
        <w:rPr>
          <w:rFonts w:ascii="Trebuchet MS" w:hAnsi="Trebuchet MS" w:cs="Times New Roman"/>
          <w:sz w:val="24"/>
          <w:szCs w:val="24"/>
        </w:rPr>
        <w:t xml:space="preserve"> Juan Pablo Rojas H.</w:t>
      </w:r>
    </w:p>
    <w:p w:rsidR="00CC1F72" w:rsidRDefault="00CC1F72" w:rsidP="00CC1F72">
      <w:pPr>
        <w:pStyle w:val="Sinespaciado"/>
        <w:ind w:left="4248"/>
        <w:jc w:val="right"/>
        <w:rPr>
          <w:rFonts w:ascii="Trebuchet MS" w:hAnsi="Trebuchet MS" w:cs="Times New Roman"/>
          <w:sz w:val="24"/>
          <w:szCs w:val="24"/>
        </w:rPr>
      </w:pPr>
      <w:r>
        <w:rPr>
          <w:rFonts w:ascii="Trebuchet MS" w:hAnsi="Trebuchet MS" w:cs="Times New Roman"/>
          <w:sz w:val="24"/>
          <w:szCs w:val="24"/>
        </w:rPr>
        <w:t xml:space="preserve">             Calle 3ª#35ª- 90, </w:t>
      </w:r>
    </w:p>
    <w:p w:rsidR="00CC1F72" w:rsidRDefault="00CC1F72" w:rsidP="00CC1F72">
      <w:pPr>
        <w:pStyle w:val="Sinespaciado"/>
        <w:ind w:left="4248"/>
        <w:jc w:val="right"/>
        <w:rPr>
          <w:rFonts w:ascii="Trebuchet MS" w:hAnsi="Trebuchet MS" w:cs="Times New Roman"/>
          <w:sz w:val="24"/>
          <w:szCs w:val="24"/>
        </w:rPr>
      </w:pPr>
      <w:r>
        <w:rPr>
          <w:rFonts w:ascii="Trebuchet MS" w:hAnsi="Trebuchet MS" w:cs="Times New Roman"/>
          <w:sz w:val="24"/>
          <w:szCs w:val="24"/>
        </w:rPr>
        <w:t xml:space="preserve">                                 Cali, Colombia.</w:t>
      </w:r>
    </w:p>
    <w:p w:rsidR="00CC1F72" w:rsidRDefault="00CC1F72" w:rsidP="00CC1F72">
      <w:pPr>
        <w:pStyle w:val="Sinespaciado"/>
        <w:jc w:val="right"/>
        <w:rPr>
          <w:rFonts w:ascii="Trebuchet MS" w:hAnsi="Trebuchet MS" w:cs="Times New Roman"/>
          <w:sz w:val="24"/>
          <w:szCs w:val="24"/>
        </w:rPr>
      </w:pPr>
      <w:r>
        <w:rPr>
          <w:rFonts w:ascii="Trebuchet MS" w:hAnsi="Trebuchet MS" w:cs="Times New Roman"/>
          <w:sz w:val="24"/>
          <w:szCs w:val="24"/>
        </w:rPr>
        <w:t xml:space="preserve">                                                                                                                            </w:t>
      </w:r>
      <w:r>
        <w:rPr>
          <w:rFonts w:ascii="Trebuchet MS" w:hAnsi="Trebuchet MS" w:cs="Times New Roman"/>
          <w:b/>
          <w:sz w:val="24"/>
          <w:szCs w:val="24"/>
        </w:rPr>
        <w:t>E-mail:</w:t>
      </w:r>
      <w:r>
        <w:rPr>
          <w:rFonts w:ascii="Trebuchet MS" w:hAnsi="Trebuchet MS" w:cs="Times New Roman"/>
          <w:sz w:val="24"/>
          <w:szCs w:val="24"/>
        </w:rPr>
        <w:t xml:space="preserve"> </w:t>
      </w:r>
      <w:r>
        <w:rPr>
          <w:rStyle w:val="blockemailwithname"/>
          <w:rFonts w:ascii="Trebuchet MS" w:hAnsi="Trebuchet MS" w:cs="Times New Roman"/>
          <w:sz w:val="24"/>
          <w:szCs w:val="24"/>
        </w:rPr>
        <w:t>juanpa8506@hotmail.com</w:t>
      </w: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p>
    <w:p w:rsidR="00CC1F72" w:rsidRDefault="00CC1F72" w:rsidP="00CC1F72">
      <w:pPr>
        <w:rPr>
          <w:rFonts w:ascii="Trebuchet MS" w:hAnsi="Trebuchet MS"/>
          <w:b/>
          <w:sz w:val="24"/>
          <w:szCs w:val="24"/>
        </w:rPr>
      </w:pPr>
      <w:bookmarkStart w:id="0" w:name="_GoBack"/>
      <w:bookmarkEnd w:id="0"/>
    </w:p>
    <w:p w:rsidR="00CC1F72" w:rsidRDefault="00CC1F72" w:rsidP="00CC1F72">
      <w:pPr>
        <w:spacing w:before="240"/>
        <w:jc w:val="both"/>
        <w:rPr>
          <w:rFonts w:ascii="Arial" w:hAnsi="Arial" w:cs="Arial"/>
          <w:b/>
          <w:sz w:val="26"/>
          <w:szCs w:val="26"/>
        </w:rPr>
      </w:pPr>
      <w:r>
        <w:rPr>
          <w:rFonts w:ascii="Arial" w:hAnsi="Arial" w:cs="Arial"/>
          <w:b/>
          <w:sz w:val="26"/>
          <w:szCs w:val="26"/>
        </w:rPr>
        <w:lastRenderedPageBreak/>
        <w:t>RESUMEN</w:t>
      </w:r>
    </w:p>
    <w:p w:rsidR="00CC1F72" w:rsidRDefault="00CC1F72" w:rsidP="00CC1F72">
      <w:pPr>
        <w:autoSpaceDE w:val="0"/>
        <w:autoSpaceDN w:val="0"/>
        <w:adjustRightInd w:val="0"/>
        <w:spacing w:before="240" w:after="0"/>
        <w:jc w:val="both"/>
        <w:rPr>
          <w:rFonts w:ascii="Arial" w:hAnsi="Arial" w:cs="Arial"/>
          <w:sz w:val="24"/>
          <w:szCs w:val="24"/>
        </w:rPr>
      </w:pPr>
      <w:r>
        <w:rPr>
          <w:rFonts w:ascii="Arial" w:hAnsi="Arial" w:cs="Arial"/>
          <w:sz w:val="24"/>
          <w:szCs w:val="24"/>
        </w:rPr>
        <w:t xml:space="preserve">El Ectima Gangrenoso (EG) es una infección poco frecuente de la  piel,  conocida con una característica lesión causada por la   </w:t>
      </w:r>
      <w:r>
        <w:rPr>
          <w:rFonts w:ascii="Arial" w:hAnsi="Arial" w:cs="Arial"/>
          <w:i/>
          <w:sz w:val="24"/>
          <w:szCs w:val="24"/>
        </w:rPr>
        <w:t xml:space="preserve">Pseudomoma aeruginosa, </w:t>
      </w:r>
      <w:r w:rsidRPr="004B0096">
        <w:rPr>
          <w:rFonts w:ascii="Arial" w:hAnsi="Arial" w:cs="Arial"/>
          <w:sz w:val="24"/>
          <w:szCs w:val="24"/>
        </w:rPr>
        <w:t xml:space="preserve">pero  que  también,  se puede presentar por otro tipo de bacterias del tipo </w:t>
      </w:r>
      <w:r>
        <w:rPr>
          <w:rFonts w:ascii="Arial" w:hAnsi="Arial" w:cs="Arial"/>
          <w:i/>
          <w:sz w:val="24"/>
          <w:szCs w:val="24"/>
        </w:rPr>
        <w:t xml:space="preserve">Staphylococcus  aureus </w:t>
      </w:r>
      <w:r>
        <w:rPr>
          <w:rFonts w:ascii="Arial" w:hAnsi="Arial" w:cs="Arial"/>
          <w:sz w:val="24"/>
          <w:szCs w:val="24"/>
        </w:rPr>
        <w:t>o el</w:t>
      </w:r>
      <w:r>
        <w:rPr>
          <w:rFonts w:ascii="Arial" w:hAnsi="Arial" w:cs="Arial"/>
          <w:i/>
          <w:sz w:val="24"/>
          <w:szCs w:val="24"/>
        </w:rPr>
        <w:t xml:space="preserve"> Streptococcus beta hemolítico del grupo A</w:t>
      </w:r>
      <w:r>
        <w:rPr>
          <w:rFonts w:ascii="Arial" w:hAnsi="Arial" w:cs="Arial"/>
          <w:sz w:val="24"/>
          <w:szCs w:val="24"/>
        </w:rPr>
        <w:t>, entre otros. Las lesiones  clínicamente se presentan como maculas eritemato-violaceas,  descamativas  que rápidamente evolucionan a pápulo- vesículas, ampollas hemorrágicas y costrosas  que dejan unas ulceras profundas en sacabocado con fondo necrótico. La mortalidad es alta, entre 40% y 75% de los individuos inmunológicamente comprometidos.</w:t>
      </w:r>
    </w:p>
    <w:p w:rsidR="00CC1F72" w:rsidRDefault="00CC1F72" w:rsidP="00CC1F72">
      <w:pPr>
        <w:autoSpaceDE w:val="0"/>
        <w:autoSpaceDN w:val="0"/>
        <w:adjustRightInd w:val="0"/>
        <w:spacing w:before="240" w:after="0"/>
        <w:jc w:val="both"/>
        <w:rPr>
          <w:rFonts w:ascii="Arial" w:hAnsi="Arial" w:cs="Arial"/>
          <w:sz w:val="24"/>
          <w:szCs w:val="24"/>
        </w:rPr>
      </w:pPr>
      <w:r>
        <w:rPr>
          <w:rFonts w:ascii="Arial" w:hAnsi="Arial" w:cs="Arial"/>
          <w:sz w:val="24"/>
          <w:szCs w:val="24"/>
        </w:rPr>
        <w:t xml:space="preserve">Se describe el caso de una niña de 5 años de edad que  inicialmente presento varicela y luego una  sobreinfección por </w:t>
      </w:r>
      <w:r>
        <w:rPr>
          <w:rFonts w:ascii="Arial" w:hAnsi="Arial" w:cs="Arial"/>
          <w:i/>
          <w:sz w:val="24"/>
          <w:szCs w:val="24"/>
        </w:rPr>
        <w:t>Staphylococcus aureus</w:t>
      </w:r>
      <w:r>
        <w:rPr>
          <w:rFonts w:ascii="Arial" w:hAnsi="Arial" w:cs="Arial"/>
          <w:sz w:val="24"/>
          <w:szCs w:val="24"/>
        </w:rPr>
        <w:t xml:space="preserve">  ocasionando un cuadro clínico de un EG, al diagnosticado se llega  por la  clínica, cultivos y biopsias de piel. Se realizó manejo con aciclovir</w:t>
      </w:r>
      <w:r w:rsidR="008530DE">
        <w:rPr>
          <w:rFonts w:ascii="Arial" w:hAnsi="Arial" w:cs="Arial"/>
          <w:sz w:val="24"/>
          <w:szCs w:val="24"/>
        </w:rPr>
        <w:t>,</w:t>
      </w:r>
      <w:r>
        <w:rPr>
          <w:rFonts w:ascii="Arial" w:hAnsi="Arial" w:cs="Arial"/>
          <w:sz w:val="24"/>
          <w:szCs w:val="24"/>
        </w:rPr>
        <w:t xml:space="preserve"> clindamicina</w:t>
      </w:r>
      <w:r w:rsidR="008530DE">
        <w:rPr>
          <w:rFonts w:ascii="Arial" w:hAnsi="Arial" w:cs="Arial"/>
          <w:sz w:val="24"/>
          <w:szCs w:val="24"/>
        </w:rPr>
        <w:t xml:space="preserve"> y cefepime endovenoso</w:t>
      </w:r>
      <w:r>
        <w:rPr>
          <w:rFonts w:ascii="Arial" w:hAnsi="Arial" w:cs="Arial"/>
          <w:sz w:val="24"/>
          <w:szCs w:val="24"/>
        </w:rPr>
        <w:t>, con buena y rápida respuesta del paciente.</w:t>
      </w:r>
    </w:p>
    <w:p w:rsidR="00CC1F72" w:rsidRDefault="00CC1F72" w:rsidP="00CC1F72">
      <w:pPr>
        <w:autoSpaceDE w:val="0"/>
        <w:autoSpaceDN w:val="0"/>
        <w:adjustRightInd w:val="0"/>
        <w:spacing w:before="240" w:after="0"/>
        <w:jc w:val="both"/>
        <w:rPr>
          <w:rFonts w:ascii="Arial" w:hAnsi="Arial" w:cs="Arial"/>
          <w:sz w:val="24"/>
          <w:szCs w:val="24"/>
        </w:rPr>
      </w:pPr>
    </w:p>
    <w:p w:rsidR="00CC1F72" w:rsidRDefault="00CC1F72" w:rsidP="00CC1F72">
      <w:pPr>
        <w:jc w:val="both"/>
        <w:rPr>
          <w:rFonts w:ascii="Arial" w:hAnsi="Arial" w:cs="Arial"/>
          <w:sz w:val="24"/>
          <w:szCs w:val="24"/>
        </w:rPr>
      </w:pPr>
      <w:r>
        <w:rPr>
          <w:rFonts w:ascii="Arial" w:hAnsi="Arial" w:cs="Arial"/>
          <w:b/>
          <w:sz w:val="24"/>
          <w:szCs w:val="24"/>
        </w:rPr>
        <w:t>PALABRAS CLAVES:</w:t>
      </w:r>
      <w:r>
        <w:rPr>
          <w:rFonts w:ascii="Arial" w:hAnsi="Arial" w:cs="Arial"/>
          <w:sz w:val="24"/>
          <w:szCs w:val="24"/>
        </w:rPr>
        <w:t xml:space="preserve"> Ectima gangrenoso,  sobreinfección,  varicela y complicaciones.</w:t>
      </w:r>
    </w:p>
    <w:p w:rsidR="00CC1F72" w:rsidRDefault="00CC1F72" w:rsidP="00CC1F72">
      <w:pPr>
        <w:jc w:val="both"/>
        <w:rPr>
          <w:rFonts w:ascii="Arial" w:hAnsi="Arial" w:cs="Arial"/>
          <w:b/>
          <w:sz w:val="26"/>
          <w:szCs w:val="26"/>
          <w:highlight w:val="yellow"/>
          <w:lang w:val="es-CO"/>
        </w:rPr>
      </w:pPr>
    </w:p>
    <w:p w:rsidR="00CC1F72" w:rsidRDefault="00CC1F72" w:rsidP="00CC1F72">
      <w:pPr>
        <w:jc w:val="both"/>
        <w:rPr>
          <w:rFonts w:ascii="Arial" w:hAnsi="Arial" w:cs="Arial"/>
          <w:b/>
          <w:sz w:val="24"/>
          <w:szCs w:val="24"/>
          <w:lang w:val="es-CO"/>
        </w:rPr>
      </w:pPr>
    </w:p>
    <w:p w:rsidR="004B0096" w:rsidRDefault="004B0096" w:rsidP="00CC1F72">
      <w:pPr>
        <w:jc w:val="both"/>
        <w:rPr>
          <w:rFonts w:ascii="Arial" w:hAnsi="Arial" w:cs="Arial"/>
          <w:b/>
          <w:sz w:val="24"/>
          <w:szCs w:val="24"/>
          <w:lang w:val="es-CO"/>
        </w:rPr>
      </w:pPr>
    </w:p>
    <w:p w:rsidR="004B0096" w:rsidRDefault="004B0096" w:rsidP="00CC1F72">
      <w:pPr>
        <w:jc w:val="both"/>
        <w:rPr>
          <w:rFonts w:ascii="Arial" w:hAnsi="Arial" w:cs="Arial"/>
          <w:b/>
          <w:sz w:val="24"/>
          <w:szCs w:val="24"/>
          <w:lang w:val="es-CO"/>
        </w:rPr>
      </w:pPr>
    </w:p>
    <w:p w:rsidR="004B0096" w:rsidRDefault="004B0096" w:rsidP="00CC1F72">
      <w:pPr>
        <w:jc w:val="both"/>
        <w:rPr>
          <w:rFonts w:ascii="Arial" w:hAnsi="Arial" w:cs="Arial"/>
          <w:b/>
          <w:sz w:val="24"/>
          <w:szCs w:val="24"/>
          <w:lang w:val="es-CO"/>
        </w:rPr>
      </w:pPr>
    </w:p>
    <w:p w:rsidR="004B0096" w:rsidRDefault="004B0096"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4"/>
          <w:szCs w:val="24"/>
          <w:lang w:val="es-CO"/>
        </w:rPr>
      </w:pPr>
    </w:p>
    <w:p w:rsidR="00CC1F72" w:rsidRDefault="00CC1F72" w:rsidP="00CC1F72">
      <w:pPr>
        <w:jc w:val="both"/>
        <w:rPr>
          <w:rFonts w:ascii="Arial" w:hAnsi="Arial" w:cs="Arial"/>
          <w:b/>
          <w:sz w:val="26"/>
          <w:szCs w:val="26"/>
          <w:lang w:val="es-CO"/>
        </w:rPr>
      </w:pPr>
      <w:r>
        <w:rPr>
          <w:rFonts w:ascii="Arial" w:hAnsi="Arial" w:cs="Arial"/>
          <w:b/>
          <w:sz w:val="26"/>
          <w:szCs w:val="26"/>
          <w:lang w:val="es-CO"/>
        </w:rPr>
        <w:lastRenderedPageBreak/>
        <w:t>INTRODUCCION</w:t>
      </w:r>
    </w:p>
    <w:p w:rsidR="00CC1F72" w:rsidRDefault="00CC1F72" w:rsidP="00CC1F72">
      <w:pPr>
        <w:jc w:val="both"/>
        <w:rPr>
          <w:rFonts w:ascii="Arial" w:hAnsi="Arial" w:cs="Arial"/>
          <w:sz w:val="24"/>
          <w:szCs w:val="24"/>
        </w:rPr>
      </w:pPr>
      <w:r>
        <w:rPr>
          <w:rFonts w:ascii="Arial" w:hAnsi="Arial" w:cs="Arial"/>
          <w:sz w:val="24"/>
          <w:szCs w:val="24"/>
        </w:rPr>
        <w:t xml:space="preserve">El Ectima Gangrenoso (EG) es una infección poco frecuente de  la  piel generalmente causada por </w:t>
      </w:r>
      <w:r>
        <w:rPr>
          <w:rFonts w:ascii="Arial" w:hAnsi="Arial" w:cs="Arial"/>
          <w:i/>
          <w:sz w:val="24"/>
          <w:szCs w:val="24"/>
        </w:rPr>
        <w:t>Pseudomona aeruginosa</w:t>
      </w:r>
      <w:r>
        <w:rPr>
          <w:rFonts w:ascii="Arial" w:hAnsi="Arial" w:cs="Arial"/>
          <w:sz w:val="24"/>
          <w:szCs w:val="24"/>
        </w:rPr>
        <w:t xml:space="preserve">, pero también se han descrito  casos donde los gérmenes causantes pueden ser muy diversos desde los Gram positivos del tipo de los </w:t>
      </w:r>
      <w:r>
        <w:rPr>
          <w:rFonts w:ascii="Arial" w:hAnsi="Arial" w:cs="Arial"/>
          <w:i/>
          <w:sz w:val="24"/>
          <w:szCs w:val="24"/>
        </w:rPr>
        <w:t xml:space="preserve">Staphylococcus, Streptococcus </w:t>
      </w:r>
      <w:r>
        <w:rPr>
          <w:rFonts w:ascii="Arial" w:hAnsi="Arial" w:cs="Arial"/>
          <w:sz w:val="24"/>
          <w:szCs w:val="24"/>
        </w:rPr>
        <w:t>hasta fungemias causadas por Candida Albicans. Se presenta en pacientes inmunosuprimidos o  con algún tipo de lesión primaria en piel (1, 2). Las lesiones en piel se inician como  maculo-papulas  eritematosas que rápidamente progresan a vesiculo- ampollas hemorrágicas que fácilmente  se rompen y dejan  una costra purulenta que al desprenderse muestra una  ulcera profunda en  sacabocado, con el borde indurado,  elevado</w:t>
      </w:r>
      <w:r w:rsidR="004B0096">
        <w:rPr>
          <w:rFonts w:ascii="Arial" w:hAnsi="Arial" w:cs="Arial"/>
          <w:sz w:val="24"/>
          <w:szCs w:val="24"/>
        </w:rPr>
        <w:t>,</w:t>
      </w:r>
      <w:r>
        <w:rPr>
          <w:rFonts w:ascii="Arial" w:hAnsi="Arial" w:cs="Arial"/>
          <w:sz w:val="24"/>
          <w:szCs w:val="24"/>
        </w:rPr>
        <w:t xml:space="preserve">  eritemato-violáceo y centro necrótico (3). </w:t>
      </w:r>
    </w:p>
    <w:p w:rsidR="00CC1F72" w:rsidRDefault="00CC1F72" w:rsidP="00CC1F72">
      <w:pPr>
        <w:jc w:val="both"/>
        <w:rPr>
          <w:rFonts w:ascii="Arial" w:hAnsi="Arial" w:cs="Arial"/>
          <w:sz w:val="24"/>
          <w:szCs w:val="24"/>
        </w:rPr>
      </w:pPr>
      <w:r>
        <w:rPr>
          <w:rFonts w:ascii="Arial" w:hAnsi="Arial" w:cs="Arial"/>
          <w:sz w:val="24"/>
          <w:szCs w:val="24"/>
        </w:rPr>
        <w:t>La infección por virus de varicela zoster (VVZ) da lugar a la varicela, la cual es casi siempre un exantema vesicular, de corta duración, pruriginoso, benigno y  auto limitado en niños sanos.  La importancia clínica de esta patología, son las complicaciones que el paciente puede presentar en el trascurso de la enfermedad, entre las más frecuentes se encuentran la sobreinfección bacteriana cutánea, las respiratorias como neumonías, neumonitis y las del sistema nervioso central como las encefalitis (4).</w:t>
      </w:r>
    </w:p>
    <w:p w:rsidR="00CC1F72" w:rsidRDefault="00CC1F72" w:rsidP="00CC1F72">
      <w:pPr>
        <w:jc w:val="both"/>
        <w:rPr>
          <w:rFonts w:ascii="Arial" w:hAnsi="Arial" w:cs="Arial"/>
          <w:sz w:val="24"/>
          <w:szCs w:val="24"/>
          <w:lang w:val="es-CO"/>
        </w:rPr>
      </w:pPr>
      <w:r>
        <w:rPr>
          <w:rFonts w:ascii="Arial" w:hAnsi="Arial" w:cs="Arial"/>
          <w:sz w:val="24"/>
          <w:szCs w:val="24"/>
          <w:lang w:val="es-CO"/>
        </w:rPr>
        <w:t xml:space="preserve">Las infecciones secundarias en piel desde las capas externas hasta las </w:t>
      </w:r>
      <w:r w:rsidR="004B0096">
        <w:rPr>
          <w:rFonts w:ascii="Arial" w:hAnsi="Arial" w:cs="Arial"/>
          <w:sz w:val="24"/>
          <w:szCs w:val="24"/>
          <w:lang w:val="es-CO"/>
        </w:rPr>
        <w:t>más</w:t>
      </w:r>
      <w:r>
        <w:rPr>
          <w:rFonts w:ascii="Arial" w:hAnsi="Arial" w:cs="Arial"/>
          <w:sz w:val="24"/>
          <w:szCs w:val="24"/>
          <w:lang w:val="es-CO"/>
        </w:rPr>
        <w:t xml:space="preserve"> profundas, son las que con  mayor frecuencia  pueden originar sepsis, osteomielitis, artritis o bacteriemia. Las formas clínicas de sobreinfección cutánea son muy polimorfas, y se  puede presentar  cualquier tipo de lesión. El S</w:t>
      </w:r>
      <w:r>
        <w:rPr>
          <w:rFonts w:ascii="Arial" w:hAnsi="Arial" w:cs="Arial"/>
          <w:i/>
          <w:sz w:val="24"/>
          <w:szCs w:val="24"/>
          <w:lang w:val="es-CO"/>
        </w:rPr>
        <w:t>. beta hemolítico del grupo A</w:t>
      </w:r>
      <w:r>
        <w:rPr>
          <w:rFonts w:ascii="Arial" w:hAnsi="Arial" w:cs="Arial"/>
          <w:sz w:val="24"/>
          <w:szCs w:val="24"/>
          <w:lang w:val="es-CO"/>
        </w:rPr>
        <w:t xml:space="preserve"> y el </w:t>
      </w:r>
      <w:r>
        <w:rPr>
          <w:rFonts w:ascii="Arial" w:hAnsi="Arial" w:cs="Arial"/>
          <w:i/>
          <w:sz w:val="24"/>
          <w:szCs w:val="24"/>
          <w:lang w:val="es-CO"/>
        </w:rPr>
        <w:t>S. aureus</w:t>
      </w:r>
      <w:r>
        <w:rPr>
          <w:rFonts w:ascii="Arial" w:hAnsi="Arial" w:cs="Arial"/>
          <w:sz w:val="24"/>
          <w:szCs w:val="24"/>
          <w:lang w:val="es-CO"/>
        </w:rPr>
        <w:t xml:space="preserve"> son de manera aislada o combinada los más frecuentemente gérmenes aislados en casos de sobreinfección o complicaciones de la varicela. (4). Estas infecciones bacterianas secundarias de la piel como son el impétigo y celulitis juntas suman el 45.2% de las complicaciones, mientras que las neumonías y encefalitis ocupan el segundo lugar con un 13.5% de las complicaciones.</w:t>
      </w:r>
    </w:p>
    <w:p w:rsidR="00CC1F72" w:rsidRDefault="00CC1F72" w:rsidP="00CC1F72">
      <w:pPr>
        <w:jc w:val="both"/>
        <w:rPr>
          <w:rFonts w:ascii="Arial" w:hAnsi="Arial" w:cs="Arial"/>
          <w:sz w:val="24"/>
          <w:szCs w:val="24"/>
        </w:rPr>
      </w:pPr>
      <w:r>
        <w:rPr>
          <w:rFonts w:ascii="Arial" w:hAnsi="Arial" w:cs="Arial"/>
          <w:sz w:val="24"/>
          <w:szCs w:val="24"/>
        </w:rPr>
        <w:t xml:space="preserve">Se describe el caso de una niña </w:t>
      </w:r>
      <w:r>
        <w:rPr>
          <w:rFonts w:ascii="Arial" w:hAnsi="Arial" w:cs="Arial"/>
          <w:sz w:val="24"/>
          <w:szCs w:val="24"/>
          <w:lang w:val="es-CO"/>
        </w:rPr>
        <w:t xml:space="preserve">de 5 años de edad, sin antecedentes de inmunosupresión primaria,  con lesiones en piel de tipo  </w:t>
      </w:r>
      <w:r>
        <w:rPr>
          <w:rFonts w:ascii="Arial" w:hAnsi="Arial" w:cs="Arial"/>
          <w:sz w:val="24"/>
          <w:szCs w:val="24"/>
        </w:rPr>
        <w:t xml:space="preserve">maculas, pápulas, ulceras profundas, redondas múltiples, algunas en sacabocado y tejido ulcerativo con fondo necrótico, en donde la biopsia de piel y los cultivos diagnostican un caso de   EG por </w:t>
      </w:r>
      <w:r>
        <w:rPr>
          <w:rFonts w:ascii="Arial" w:hAnsi="Arial" w:cs="Arial"/>
          <w:i/>
          <w:sz w:val="24"/>
          <w:szCs w:val="24"/>
          <w:lang w:val="es-CO"/>
        </w:rPr>
        <w:t>S. aureus</w:t>
      </w:r>
      <w:r>
        <w:rPr>
          <w:rFonts w:ascii="Arial" w:hAnsi="Arial" w:cs="Arial"/>
          <w:sz w:val="24"/>
          <w:szCs w:val="24"/>
        </w:rPr>
        <w:t>.</w:t>
      </w:r>
    </w:p>
    <w:p w:rsidR="00CC1F72" w:rsidRDefault="00CC1F72" w:rsidP="00CC1F72">
      <w:pPr>
        <w:jc w:val="both"/>
        <w:rPr>
          <w:rFonts w:ascii="Arial" w:hAnsi="Arial" w:cs="Arial"/>
          <w:b/>
          <w:sz w:val="26"/>
          <w:szCs w:val="26"/>
        </w:rPr>
      </w:pPr>
    </w:p>
    <w:p w:rsidR="00CC1F72" w:rsidRDefault="00CC1F72" w:rsidP="00CC1F72">
      <w:pPr>
        <w:jc w:val="both"/>
        <w:rPr>
          <w:rFonts w:ascii="Arial" w:hAnsi="Arial" w:cs="Arial"/>
          <w:b/>
          <w:sz w:val="26"/>
          <w:szCs w:val="26"/>
        </w:rPr>
      </w:pPr>
    </w:p>
    <w:p w:rsidR="00CC1F72" w:rsidRDefault="00CC1F72" w:rsidP="00CC1F72">
      <w:pPr>
        <w:jc w:val="both"/>
        <w:rPr>
          <w:rFonts w:ascii="Arial" w:hAnsi="Arial" w:cs="Arial"/>
          <w:b/>
          <w:sz w:val="26"/>
          <w:szCs w:val="26"/>
        </w:rPr>
      </w:pPr>
    </w:p>
    <w:p w:rsidR="00CC1F72" w:rsidRDefault="00CC1F72" w:rsidP="00CC1F72">
      <w:pPr>
        <w:jc w:val="both"/>
        <w:rPr>
          <w:rFonts w:ascii="Arial" w:hAnsi="Arial" w:cs="Arial"/>
          <w:b/>
          <w:sz w:val="26"/>
          <w:szCs w:val="26"/>
        </w:rPr>
      </w:pPr>
    </w:p>
    <w:p w:rsidR="00CC1F72" w:rsidRDefault="00CC1F72" w:rsidP="00CC1F72">
      <w:pPr>
        <w:jc w:val="both"/>
        <w:rPr>
          <w:rFonts w:ascii="Arial" w:hAnsi="Arial" w:cs="Arial"/>
          <w:b/>
          <w:sz w:val="26"/>
          <w:szCs w:val="26"/>
        </w:rPr>
      </w:pPr>
      <w:r>
        <w:rPr>
          <w:rFonts w:ascii="Arial" w:hAnsi="Arial" w:cs="Arial"/>
          <w:b/>
          <w:sz w:val="26"/>
          <w:szCs w:val="26"/>
        </w:rPr>
        <w:lastRenderedPageBreak/>
        <w:t>DESCRIPCION DEL CASO</w:t>
      </w:r>
    </w:p>
    <w:p w:rsidR="00CC1F72" w:rsidRDefault="00CC1F72" w:rsidP="00CC1F72">
      <w:pPr>
        <w:jc w:val="both"/>
        <w:rPr>
          <w:rFonts w:ascii="Arial" w:hAnsi="Arial" w:cs="Arial"/>
          <w:sz w:val="24"/>
          <w:szCs w:val="24"/>
        </w:rPr>
      </w:pPr>
      <w:r>
        <w:rPr>
          <w:rFonts w:ascii="Arial" w:hAnsi="Arial" w:cs="Arial"/>
          <w:sz w:val="24"/>
          <w:szCs w:val="24"/>
        </w:rPr>
        <w:t xml:space="preserve">Niña de 5 años de edad, con antecedente de dermatitis atópica, previamente sana, con buen desarrollo psicomotor, escolar, social, con antecedentes  familiares, natales y perinatales desconocidos. </w:t>
      </w:r>
    </w:p>
    <w:p w:rsidR="00CC1F72" w:rsidRDefault="00CC1F72" w:rsidP="00CC1F72">
      <w:pPr>
        <w:jc w:val="both"/>
        <w:rPr>
          <w:rFonts w:ascii="Arial" w:hAnsi="Arial" w:cs="Arial"/>
          <w:sz w:val="24"/>
          <w:szCs w:val="24"/>
        </w:rPr>
      </w:pPr>
      <w:r>
        <w:rPr>
          <w:rFonts w:ascii="Arial" w:hAnsi="Arial" w:cs="Arial"/>
          <w:sz w:val="24"/>
          <w:szCs w:val="24"/>
        </w:rPr>
        <w:t>El cuadro clínico se  inicia 15 días antes de su hospitalización con alzas térmicas no cuantificadas, exantema  que fue tratado con analgésicos y reposo en casa. Se reporta nuevamente en urgencias de la Fundación Clínica Infantil Club Noel</w:t>
      </w:r>
      <w:r w:rsidR="004B0096">
        <w:rPr>
          <w:rFonts w:ascii="Arial" w:hAnsi="Arial" w:cs="Arial"/>
          <w:sz w:val="24"/>
          <w:szCs w:val="24"/>
        </w:rPr>
        <w:t xml:space="preserve">, Cali – Colombia, </w:t>
      </w:r>
      <w:r>
        <w:rPr>
          <w:rFonts w:ascii="Arial" w:hAnsi="Arial" w:cs="Arial"/>
          <w:sz w:val="24"/>
          <w:szCs w:val="24"/>
        </w:rPr>
        <w:t xml:space="preserve"> con  fiebre de 39°C</w:t>
      </w:r>
      <w:r w:rsidR="004B0096">
        <w:rPr>
          <w:rFonts w:ascii="Arial" w:hAnsi="Arial" w:cs="Arial"/>
          <w:sz w:val="24"/>
          <w:szCs w:val="24"/>
        </w:rPr>
        <w:t>,</w:t>
      </w:r>
      <w:r>
        <w:rPr>
          <w:rFonts w:ascii="Arial" w:hAnsi="Arial" w:cs="Arial"/>
          <w:sz w:val="24"/>
          <w:szCs w:val="24"/>
        </w:rPr>
        <w:t xml:space="preserve"> acompañado de múltiples lesiones costrosas profundas y redondas  en sacabocado, con fondo necrótico de diferentes tamaños en  cara,  tronco y extremidades  (Figura 1 y 2). </w:t>
      </w:r>
    </w:p>
    <w:p w:rsidR="00CC1F72" w:rsidRDefault="00CC1F72" w:rsidP="00CC1F72">
      <w:pPr>
        <w:jc w:val="both"/>
        <w:rPr>
          <w:rFonts w:ascii="Arial" w:hAnsi="Arial" w:cs="Arial"/>
          <w:sz w:val="24"/>
          <w:szCs w:val="24"/>
        </w:rPr>
      </w:pPr>
      <w:r>
        <w:rPr>
          <w:rFonts w:ascii="Arial" w:hAnsi="Arial" w:cs="Arial"/>
          <w:sz w:val="24"/>
          <w:szCs w:val="24"/>
          <w:lang w:val="es-CO"/>
        </w:rPr>
        <w:t xml:space="preserve">En los estudios clínicos iniciales se realiza: </w:t>
      </w:r>
      <w:r>
        <w:rPr>
          <w:rFonts w:ascii="Arial" w:hAnsi="Arial" w:cs="Arial"/>
          <w:sz w:val="24"/>
          <w:szCs w:val="24"/>
        </w:rPr>
        <w:t xml:space="preserve">cuadro hemático con reporte de leucopenia 3.0x10ˆ3/mmˆ3, neutrofilos 62.2%, linfocitos 26%, monocitos de 11.3%, hemoglobina de 14.3 g/100ml, hematocrito de 45.2%, plaquetas de 309 x10ˆ3/mmˆ3, Proteína C Reactiva (PCR) 192 mg/dl, Velocidad de Sedimentación Globular (VSG)  22mm/h, Inmunoglobulina (Ig) E  de 1364 UI/ml, Radiografía de tórax normal, tres Baciloscopias (BK) de jugo gástrico negativos, Prueba de Tuberculina (PPD) menor a 10mm (negativo),  Western Blot (WB) negativo para Virus de Inmunodeficiencia Humana (VIH), IgM e IgG positivos para Herpes simplex tipo I de (12.9 y 19.2 </w:t>
      </w:r>
      <w:r>
        <w:rPr>
          <w:rFonts w:ascii="Arial" w:hAnsi="Arial" w:cs="Arial"/>
          <w:iCs/>
          <w:sz w:val="24"/>
          <w:szCs w:val="24"/>
        </w:rPr>
        <w:t xml:space="preserve">NovaTec Unidades respectivamente), IgG e IgM para Varicela-zoster positivo, </w:t>
      </w:r>
      <w:r>
        <w:rPr>
          <w:rFonts w:ascii="Arial" w:hAnsi="Arial" w:cs="Arial"/>
          <w:sz w:val="24"/>
          <w:szCs w:val="24"/>
        </w:rPr>
        <w:t xml:space="preserve">hemocultivo y cultivos de las lesiones positivos para </w:t>
      </w:r>
      <w:r>
        <w:rPr>
          <w:rFonts w:ascii="Arial" w:hAnsi="Arial" w:cs="Arial"/>
          <w:i/>
          <w:sz w:val="24"/>
          <w:szCs w:val="24"/>
        </w:rPr>
        <w:t>S. aureus</w:t>
      </w:r>
      <w:r>
        <w:rPr>
          <w:rFonts w:ascii="Arial" w:hAnsi="Arial" w:cs="Arial"/>
          <w:sz w:val="24"/>
          <w:szCs w:val="24"/>
        </w:rPr>
        <w:t xml:space="preserve"> resistente a Oxacilina y Eritromicina, sensible a Clindamicina, Ceftriaxone y Cefatoxime, D-test negativo. La Biopsia de las lesiones en piel</w:t>
      </w:r>
      <w:r w:rsidR="00380A9C">
        <w:rPr>
          <w:rFonts w:ascii="Arial" w:hAnsi="Arial" w:cs="Arial"/>
          <w:sz w:val="24"/>
          <w:szCs w:val="24"/>
        </w:rPr>
        <w:t xml:space="preserve"> con tinciones de Gram y PAS (</w:t>
      </w:r>
      <w:r w:rsidR="00380A9C" w:rsidRPr="00380A9C">
        <w:rPr>
          <w:rFonts w:ascii="Arial" w:hAnsi="Arial" w:cs="Arial"/>
          <w:sz w:val="24"/>
          <w:szCs w:val="24"/>
        </w:rPr>
        <w:t xml:space="preserve">ácido periódico Schiff </w:t>
      </w:r>
      <w:r w:rsidR="00380A9C">
        <w:rPr>
          <w:rFonts w:ascii="Arial" w:hAnsi="Arial" w:cs="Arial"/>
          <w:sz w:val="24"/>
          <w:szCs w:val="24"/>
        </w:rPr>
        <w:t>)</w:t>
      </w:r>
      <w:r>
        <w:rPr>
          <w:rFonts w:ascii="Arial" w:hAnsi="Arial" w:cs="Arial"/>
          <w:sz w:val="24"/>
          <w:szCs w:val="24"/>
        </w:rPr>
        <w:t xml:space="preserve"> reporto presencia de ulceras profundas con presencia de gran cantidad de cocos en su superficie (Figura 3</w:t>
      </w:r>
      <w:r w:rsidR="00380A9C">
        <w:rPr>
          <w:rFonts w:ascii="Arial" w:hAnsi="Arial" w:cs="Arial"/>
          <w:sz w:val="24"/>
          <w:szCs w:val="24"/>
        </w:rPr>
        <w:t>, 4, 5, 6</w:t>
      </w:r>
      <w:r>
        <w:rPr>
          <w:rFonts w:ascii="Arial" w:hAnsi="Arial" w:cs="Arial"/>
          <w:sz w:val="24"/>
          <w:szCs w:val="24"/>
        </w:rPr>
        <w:t>).</w:t>
      </w:r>
    </w:p>
    <w:p w:rsidR="00CC1F72" w:rsidRDefault="00CC1F72" w:rsidP="00CC1F72">
      <w:pPr>
        <w:jc w:val="both"/>
        <w:rPr>
          <w:rFonts w:ascii="Arial" w:hAnsi="Arial" w:cs="Arial"/>
          <w:sz w:val="24"/>
          <w:szCs w:val="24"/>
        </w:rPr>
      </w:pPr>
      <w:r>
        <w:rPr>
          <w:rFonts w:ascii="Arial" w:hAnsi="Arial" w:cs="Arial"/>
          <w:sz w:val="24"/>
          <w:szCs w:val="24"/>
        </w:rPr>
        <w:t xml:space="preserve">Paciente con diagnóstico de Varicela Zoster, con sobreinfección bacteriana por </w:t>
      </w:r>
      <w:r>
        <w:rPr>
          <w:rFonts w:ascii="Arial" w:hAnsi="Arial" w:cs="Arial"/>
          <w:i/>
          <w:sz w:val="24"/>
          <w:szCs w:val="24"/>
          <w:lang w:val="es-CO"/>
        </w:rPr>
        <w:t>S. aureus,</w:t>
      </w:r>
      <w:r>
        <w:rPr>
          <w:rFonts w:ascii="Arial" w:hAnsi="Arial" w:cs="Arial"/>
          <w:sz w:val="24"/>
          <w:szCs w:val="24"/>
          <w:lang w:val="es-CO"/>
        </w:rPr>
        <w:t xml:space="preserve"> </w:t>
      </w:r>
      <w:r w:rsidR="00C14253">
        <w:rPr>
          <w:rFonts w:ascii="Arial" w:hAnsi="Arial" w:cs="Arial"/>
          <w:sz w:val="24"/>
          <w:szCs w:val="24"/>
        </w:rPr>
        <w:t xml:space="preserve">que desarrolla </w:t>
      </w:r>
      <w:r>
        <w:rPr>
          <w:rFonts w:ascii="Arial" w:hAnsi="Arial" w:cs="Arial"/>
          <w:sz w:val="24"/>
          <w:szCs w:val="24"/>
        </w:rPr>
        <w:t xml:space="preserve"> clínicamente un Ectima Gangrenoso. </w:t>
      </w:r>
    </w:p>
    <w:p w:rsidR="00CC1F72" w:rsidRDefault="00CC1F72" w:rsidP="001C4A4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paciente durante su hospitalización recibió  Aciclovir (30 mg/kg/día)</w:t>
      </w:r>
      <w:r w:rsidR="00FB7310">
        <w:rPr>
          <w:rFonts w:ascii="Arial" w:hAnsi="Arial" w:cs="Arial"/>
          <w:sz w:val="24"/>
          <w:szCs w:val="24"/>
        </w:rPr>
        <w:t>,</w:t>
      </w:r>
      <w:r>
        <w:rPr>
          <w:rFonts w:ascii="Arial" w:hAnsi="Arial" w:cs="Arial"/>
          <w:sz w:val="24"/>
          <w:szCs w:val="24"/>
        </w:rPr>
        <w:t xml:space="preserve">  Clindamicina (40mg/kg/día) </w:t>
      </w:r>
      <w:r w:rsidR="001C4A41">
        <w:rPr>
          <w:rFonts w:ascii="Arial" w:hAnsi="Arial" w:cs="Arial"/>
          <w:sz w:val="24"/>
          <w:szCs w:val="24"/>
        </w:rPr>
        <w:t xml:space="preserve">y </w:t>
      </w:r>
      <w:r w:rsidR="001C4A41" w:rsidRPr="001C4A41">
        <w:rPr>
          <w:rFonts w:ascii="Arial" w:hAnsi="Arial" w:cs="Arial"/>
          <w:sz w:val="24"/>
          <w:szCs w:val="24"/>
        </w:rPr>
        <w:t xml:space="preserve">Cefepime </w:t>
      </w:r>
      <w:r w:rsidR="001C4A41">
        <w:rPr>
          <w:rFonts w:ascii="Arial" w:hAnsi="Arial" w:cs="Arial"/>
          <w:sz w:val="24"/>
          <w:szCs w:val="24"/>
        </w:rPr>
        <w:t>(</w:t>
      </w:r>
      <w:r w:rsidR="001C4A41" w:rsidRPr="001C4A41">
        <w:rPr>
          <w:rFonts w:ascii="Arial" w:hAnsi="Arial" w:cs="Arial"/>
          <w:sz w:val="24"/>
          <w:szCs w:val="24"/>
        </w:rPr>
        <w:t>150 mg/ kg/dí</w:t>
      </w:r>
      <w:r w:rsidR="001C4A41" w:rsidRPr="00FB7310">
        <w:rPr>
          <w:rFonts w:ascii="Arial" w:hAnsi="Arial" w:cs="Arial"/>
          <w:sz w:val="24"/>
          <w:szCs w:val="24"/>
        </w:rPr>
        <w:t>a)</w:t>
      </w:r>
      <w:r w:rsidR="001C4A41">
        <w:rPr>
          <w:rFonts w:ascii="Arial" w:hAnsi="Arial" w:cs="Arial"/>
          <w:b/>
          <w:sz w:val="24"/>
          <w:szCs w:val="24"/>
        </w:rPr>
        <w:t xml:space="preserve"> </w:t>
      </w:r>
      <w:r>
        <w:rPr>
          <w:rFonts w:ascii="Arial" w:hAnsi="Arial" w:cs="Arial"/>
          <w:sz w:val="24"/>
          <w:szCs w:val="24"/>
        </w:rPr>
        <w:t xml:space="preserve">endovenoso durante 14 días, soporte nutricional adecuado, terapia física y curaciones por </w:t>
      </w:r>
      <w:r w:rsidR="00FB7310">
        <w:rPr>
          <w:rFonts w:ascii="Arial" w:hAnsi="Arial" w:cs="Arial"/>
          <w:sz w:val="24"/>
          <w:szCs w:val="24"/>
        </w:rPr>
        <w:t>clínica de heridas</w:t>
      </w:r>
      <w:r>
        <w:rPr>
          <w:rFonts w:ascii="Arial" w:hAnsi="Arial" w:cs="Arial"/>
          <w:sz w:val="24"/>
          <w:szCs w:val="24"/>
        </w:rPr>
        <w:t>, presentando  una recuperación satisfactoria de sus manifestaciones clínicas</w:t>
      </w:r>
      <w:r w:rsidR="00BE0E38">
        <w:rPr>
          <w:rFonts w:ascii="Arial" w:hAnsi="Arial" w:cs="Arial"/>
          <w:sz w:val="24"/>
          <w:szCs w:val="24"/>
        </w:rPr>
        <w:t xml:space="preserve"> (Figura 7)</w:t>
      </w:r>
      <w:r>
        <w:rPr>
          <w:rFonts w:ascii="Arial" w:hAnsi="Arial" w:cs="Arial"/>
          <w:sz w:val="24"/>
          <w:szCs w:val="24"/>
        </w:rPr>
        <w:t>.</w:t>
      </w: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CC1F72" w:rsidRDefault="00165027" w:rsidP="00CC1F72">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Arial" w:hAnsi="Arial" w:cs="Arial"/>
          <w:b/>
          <w:sz w:val="24"/>
          <w:szCs w:val="24"/>
        </w:rPr>
      </w:pPr>
      <w:r w:rsidRPr="00165027">
        <w:rPr>
          <w:noProof/>
          <w:lang w:eastAsia="es-ES"/>
        </w:rPr>
        <w:pict>
          <v:shapetype id="_x0000_t202" coordsize="21600,21600" o:spt="202" path="m,l,21600r21600,l21600,xe">
            <v:stroke joinstyle="miter"/>
            <v:path gradientshapeok="t" o:connecttype="rect"/>
          </v:shapetype>
          <v:shape id="Cuadro de texto 17" o:spid="_x0000_s1026" type="#_x0000_t202" style="position:absolute;margin-left:1.45pt;margin-top:7.6pt;width:20pt;height:20.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imMgIAAFgEAAAOAAAAZHJzL2Uyb0RvYy54bWysVNtu2zAMfR+wfxD0vjjJkl6MOEWXLsOA&#10;7gJ0+wBGkmNhsqhJSuzs60vJaZp12MuwPAiiSR0eHpJZ3PStYXvlg0Zb8clozJmyAqW224p//7Z+&#10;c8VZiGAlGLSq4gcV+M3y9atF50o1xQaNVJ4RiA1l5yrexOjKogiiUS2EETplyVmjbyGS6beF9NAR&#10;emuK6Xh8UXTopfMoVAj09W5w8mXGr2sl4pe6DioyU3HiFvPp87lJZ7FcQLn14BotjjTgH1i0oC0l&#10;PUHdQQS28/oPqFYLjwHrOBLYFljXWqhcA1UzGb+o5qEBp3ItJE5wJ5nC/4MVn/dfPdOSenfJmYWW&#10;erTagfTIpGJR9REZeUimzoWSoh8cxcf+Hfb0JJcc3D2KH4FZXDVgt+rWe+waBZJoTtLL4uzpgBMS&#10;yKb7hJLSwS5iBupr3yYNSRVG6NSuw6lFRIQJ+jidz8Zj8ghyTS/ms7e5hQWUT4+dD/GDwpalS8U9&#10;TUAGh/19iIkMlE8hKVdAo+VaG5MNv92sjGd7oGlZ51/m/yLMWNZV/Ho+nQ/1/xWCmCayQ9bfMrU6&#10;0tgb3Vb86hQEZVLtvZX0AMoI2gx3omzsUcak3KBh7Dc9BSZtNygPJKjHYbxpHenSoP/FWUejXfHw&#10;cwdecWY+WmrK9WQ2S7uQjdn8ckqGP/dszj1gBUFVPHI2XFdx2J+d83rbUKZhDCzeUiNrnUV+ZnXk&#10;TeObtT+uWtqPcztHPf8hLB8BAAD//wMAUEsDBBQABgAIAAAAIQDtOz0b2gAAAAYBAAAPAAAAZHJz&#10;L2Rvd25yZXYueG1sTI7LTsMwEEX3SPyDNUhsEHUIfYY4FUIC0R0UBFs3niYR9jjYbhr+nukKlveh&#10;e0+5Hp0VA4bYeVJwM8lAINXedNQoeH97vF6CiEmT0dYTKvjBCOvq/KzUhfFHesVhmxrBIxQLraBN&#10;qS+kjHWLTseJ75E42/vgdGIZGmmCPvK4szLPsrl0uiN+aHWPDy3WX9uDU7CcPg+fcXP78lHP93aV&#10;rhbD03dQ6vJivL8DkXBMf2U44TM6VMy08wcyUVgF+YqLbM9yEBxPT3qnYLbIQFal/I9f/QIAAP//&#10;AwBQSwECLQAUAAYACAAAACEAtoM4kv4AAADhAQAAEwAAAAAAAAAAAAAAAAAAAAAAW0NvbnRlbnRf&#10;VHlwZXNdLnhtbFBLAQItABQABgAIAAAAIQA4/SH/1gAAAJQBAAALAAAAAAAAAAAAAAAAAC8BAABf&#10;cmVscy8ucmVsc1BLAQItABQABgAIAAAAIQCLfEimMgIAAFgEAAAOAAAAAAAAAAAAAAAAAC4CAABk&#10;cnMvZTJvRG9jLnhtbFBLAQItABQABgAIAAAAIQDtOz0b2gAAAAYBAAAPAAAAAAAAAAAAAAAAAIwE&#10;AABkcnMvZG93bnJldi54bWxQSwUGAAAAAAQABADzAAAAkwUAAAAA&#10;">
            <v:textbox>
              <w:txbxContent>
                <w:p w:rsidR="00CC1F72" w:rsidRDefault="00CC1F72" w:rsidP="00CC1F72">
                  <w:r>
                    <w:t>A</w:t>
                  </w:r>
                </w:p>
              </w:txbxContent>
            </v:textbox>
          </v:shape>
        </w:pict>
      </w:r>
      <w:r w:rsidRPr="00165027">
        <w:rPr>
          <w:noProof/>
          <w:lang w:eastAsia="es-ES"/>
        </w:rPr>
        <w:pict>
          <v:shape id="Cuadro de texto 16" o:spid="_x0000_s1027" type="#_x0000_t202" style="position:absolute;margin-left:378.7pt;margin-top:147.1pt;width:20pt;height:20.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6oNQIAAF8EAAAOAAAAZHJzL2Uyb0RvYy54bWysVNuO0zAQfUfiHyy/07SlLbtR09XSpQhp&#10;uUgLHzC1ncbC8RjbbbJ8/Y6dtpRFvCD6YNmZ8Zkz54y7vOlbww7KB4224pPRmDNlBUptdxX/9nXz&#10;6oqzEMFKMGhVxR9V4Derly+WnSvVFBs0UnlGIDaUnat4E6MriyKIRrUQRuiUpWCNvoVIR78rpIeO&#10;0FtTTMfjRdGhl86jUCHQ17shyFcZv66ViJ/rOqjITMWJW8yrz+s2rcVqCeXOg2u0ONKAf2DRgrZU&#10;9Ax1BxHY3us/oFotPAas40hgW2Bda6FyD9TNZPysm4cGnMq9kDjBnWUK/w9WfDp88UxL8m7BmYWW&#10;PFrvQXpkUrGo+oiMIiRT50JJ2Q+O8mP/Fnu6klsO7h7F98AsrhuwO3XrPXaNAkk0J+lmcXF1wAkJ&#10;ZNt9REnlYB8xA/W1b5OGpAojdLLr8WwREWGCPk7ns/GYIoJC08V89jpbWEB5uux8iO8VtixtKu5p&#10;AjI4HO5DTGSgPKWkWgGNlhttTD743XZtPDsATcsm/zL/Z2nGsq7i1/PpfOj/rxDENJEdqv5WqdWR&#10;xt7otuJX5yQok2rvrKQLUEbQZtgTZWOPMiblBg1jv+0H407ubFE+kq4ehymnV0mbBv1Pzjqa8IqH&#10;H3vwijPzwZI315PZLD2JfJjN30zp4C8j28sIWEFQFY+cDdt1HJ7R3nm9a6jSMA0Wb8nPWmetk/ED&#10;qyN9muJswfHFpWdyec5Zv/4XVk8AAAD//wMAUEsDBBQABgAIAAAAIQDuIli24QAAAAsBAAAPAAAA&#10;ZHJzL2Rvd25yZXYueG1sTI/BTsMwDIbvSLxDZCQuaEtpS7uWuhNCArEbbAiuWeO1FU1Skqwrb092&#10;gqPtT7+/v1rPamATWdcbjXC7jICRbozsdYvwvntarIA5L7QUg9GE8EMO1vXlRSVKaU76jaatb1kI&#10;0a4UCJ33Y8m5azpSwi3NSDrcDsYq4cNoWy6tOIVwNfA4ijKuRK/Dh06M9NhR87U9KoRV+jJ9uk3y&#10;+tFkh6HwN/n0/G0Rr6/mh3tgnmb/B8NZP6hDHZz25qilYwNCfpenAUWIizQGFoi8OG/2CEmSRcDr&#10;iv/vUP8CAAD//wMAUEsBAi0AFAAGAAgAAAAhALaDOJL+AAAA4QEAABMAAAAAAAAAAAAAAAAAAAAA&#10;AFtDb250ZW50X1R5cGVzXS54bWxQSwECLQAUAAYACAAAACEAOP0h/9YAAACUAQAACwAAAAAAAAAA&#10;AAAAAAAvAQAAX3JlbHMvLnJlbHNQSwECLQAUAAYACAAAACEA/Cp+qDUCAABfBAAADgAAAAAAAAAA&#10;AAAAAAAuAgAAZHJzL2Uyb0RvYy54bWxQSwECLQAUAAYACAAAACEA7iJYtuEAAAALAQAADwAAAAAA&#10;AAAAAAAAAACPBAAAZHJzL2Rvd25yZXYueG1sUEsFBgAAAAAEAAQA8wAAAJ0FAAAAAA==&#10;">
            <v:textbox>
              <w:txbxContent>
                <w:p w:rsidR="00CC1F72" w:rsidRDefault="00CC1F72" w:rsidP="00CC1F72">
                  <w:r>
                    <w:t>D</w:t>
                  </w:r>
                </w:p>
              </w:txbxContent>
            </v:textbox>
          </v:shape>
        </w:pict>
      </w:r>
      <w:r w:rsidR="00CC1F72">
        <w:rPr>
          <w:noProof/>
          <w:lang w:eastAsia="es-ES"/>
        </w:rPr>
        <w:drawing>
          <wp:anchor distT="0" distB="0" distL="114300" distR="114300" simplePos="0" relativeHeight="251667456" behindDoc="1" locked="0" layoutInCell="1" allowOverlap="1">
            <wp:simplePos x="0" y="0"/>
            <wp:positionH relativeFrom="column">
              <wp:posOffset>2720340</wp:posOffset>
            </wp:positionH>
            <wp:positionV relativeFrom="paragraph">
              <wp:posOffset>1864360</wp:posOffset>
            </wp:positionV>
            <wp:extent cx="2400300" cy="1619250"/>
            <wp:effectExtent l="0" t="0" r="0" b="0"/>
            <wp:wrapNone/>
            <wp:docPr id="15" name="Imagen 15" descr="Descripción: Descripción: C:\Users\Juan Manuel Lopez\Desktop\ectima gangrenoso\FOTO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Juan Manuel Lopez\Desktop\ectima gangrenoso\FOTOGG.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239"/>
                    <a:stretch>
                      <a:fillRect/>
                    </a:stretch>
                  </pic:blipFill>
                  <pic:spPr bwMode="auto">
                    <a:xfrm>
                      <a:off x="0" y="0"/>
                      <a:ext cx="2400300" cy="1619250"/>
                    </a:xfrm>
                    <a:prstGeom prst="rect">
                      <a:avLst/>
                    </a:prstGeom>
                    <a:noFill/>
                  </pic:spPr>
                </pic:pic>
              </a:graphicData>
            </a:graphic>
          </wp:anchor>
        </w:drawing>
      </w:r>
      <w:r w:rsidRPr="00165027">
        <w:rPr>
          <w:noProof/>
          <w:lang w:eastAsia="es-ES"/>
        </w:rPr>
        <w:pict>
          <v:shape id="Cuadro de texto 13" o:spid="_x0000_s1028" type="#_x0000_t202" style="position:absolute;margin-left:377.45pt;margin-top:3.85pt;width:20pt;height:20.9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9dNgIAAF8EAAAOAAAAZHJzL2Uyb0RvYy54bWysVNtuEzEQfUfiHyy/k022SWlX2VQlpQip&#10;XKTCB0xsb9bC6zG2k93y9Yy9SQhFvCDyYNk74zNnzhlneTN0hu2VDxptzWeTKWfKCpTabmv+9cv9&#10;qyvOQgQrwaBVNX9Sgd+sXr5Y9q5SJbZopPKMQGyoelfzNkZXFUUQreogTNApS8EGfQeRjn5bSA89&#10;oXemKKfTy6JHL51HoUKgr3djkK8yftMoET81TVCRmZoTt5hXn9dNWovVEqqtB9dqcaAB/8CiA22p&#10;6AnqDiKwndd/QHVaeAzYxInArsCm0ULlHqib2fRZN48tOJV7IXGCO8kU/h+s+Lj/7JmW5N0FZxY6&#10;8mi9A+mRScWiGiIyipBMvQsVZT86yo/DGxzoSm45uAcU3wKzuG7BbtWt99i3CiTRnKWbxdnVESck&#10;kE3/ASWVg13EDDQ0vksakiqM0Mmup5NFRIQJ+lgu5tMpRQSFysvF/CJbWEB1vOx8iO8Udixtau5p&#10;AjI47B9CTGSgOqakWgGNlvfamHzw283aeLYHmpb7/Mv8n6UZy/qaXy/Kxdj/XyGIaSI7Vv2tUqcj&#10;jb3RXc2vTklQJdXeWkkXoIqgzbgnysYeZEzKjRrGYTNk48qjOxuUT6Srx3HK6VXSpkX/g7OeJrzm&#10;4fsOvOLMvLfkzfVsPk9PIh/mi9clHfx5ZHMeASsIquaRs3G7juMz2jmvty1VGqfB4i352eisdTJ+&#10;ZHWgT1OcLTi8uPRMzs8569f/wuonAAAA//8DAFBLAwQUAAYACAAAACEAd4f6J94AAAAIAQAADwAA&#10;AGRycy9kb3ducmV2LnhtbEyPwU7DMBBE70j8g7VIXBB1gLRpQpwKIYHgBm0FVzfeJhHxOthuGv6e&#10;7QluO5rR7JtyNdlejOhD50jBzSwBgVQ701GjYLt5ul6CCFGT0b0jVPCDAVbV+VmpC+OO9I7jOjaC&#10;SygUWkEb41BIGeoWrQ4zNyCxt3fe6sjSN9J4feRy28vbJFlIqzviD60e8LHF+mt9sAqW6cv4GV7v&#10;3j7qxb7P41U2Pn97pS4vpod7EBGn+BeGEz6jQ8VMO3cgE0SvIJunOUf5yECwn+UnvVOQ5nOQVSn/&#10;D6h+AQAA//8DAFBLAQItABQABgAIAAAAIQC2gziS/gAAAOEBAAATAAAAAAAAAAAAAAAAAAAAAABb&#10;Q29udGVudF9UeXBlc10ueG1sUEsBAi0AFAAGAAgAAAAhADj9If/WAAAAlAEAAAsAAAAAAAAAAAAA&#10;AAAALwEAAF9yZWxzLy5yZWxzUEsBAi0AFAAGAAgAAAAhADRqv102AgAAXwQAAA4AAAAAAAAAAAAA&#10;AAAALgIAAGRycy9lMm9Eb2MueG1sUEsBAi0AFAAGAAgAAAAhAHeH+ifeAAAACAEAAA8AAAAAAAAA&#10;AAAAAAAAkAQAAGRycy9kb3ducmV2LnhtbFBLBQYAAAAABAAEAPMAAACbBQAAAAA=&#10;">
            <v:textbox>
              <w:txbxContent>
                <w:p w:rsidR="00CC1F72" w:rsidRDefault="00CC1F72" w:rsidP="00CC1F72">
                  <w:r>
                    <w:t>B</w:t>
                  </w:r>
                </w:p>
              </w:txbxContent>
            </v:textbox>
          </v:shape>
        </w:pict>
      </w:r>
      <w:r w:rsidR="00CC1F72">
        <w:rPr>
          <w:rFonts w:ascii="Arial" w:hAnsi="Arial" w:cs="Arial"/>
          <w:b/>
          <w:noProof/>
          <w:sz w:val="24"/>
          <w:szCs w:val="24"/>
          <w:lang w:eastAsia="es-ES"/>
        </w:rPr>
        <w:drawing>
          <wp:inline distT="0" distB="0" distL="0" distR="0">
            <wp:extent cx="2628900" cy="1771650"/>
            <wp:effectExtent l="0" t="0" r="0" b="0"/>
            <wp:docPr id="8" name="Imagen 8" descr="Descripción: F:\DERMATOLOGIA\hospital de buga.computador\hospital buga mayo 2011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F:\DERMATOLOGIA\hospital de buga.computador\hospital buga mayo 2011 12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70" b="16014"/>
                    <a:stretch>
                      <a:fillRect/>
                    </a:stretch>
                  </pic:blipFill>
                  <pic:spPr bwMode="auto">
                    <a:xfrm>
                      <a:off x="0" y="0"/>
                      <a:ext cx="2628900" cy="1771650"/>
                    </a:xfrm>
                    <a:prstGeom prst="rect">
                      <a:avLst/>
                    </a:prstGeom>
                    <a:noFill/>
                    <a:ln>
                      <a:noFill/>
                    </a:ln>
                  </pic:spPr>
                </pic:pic>
              </a:graphicData>
            </a:graphic>
          </wp:inline>
        </w:drawing>
      </w:r>
      <w:r w:rsidRPr="00165027">
        <w:rPr>
          <w:noProof/>
          <w:lang w:eastAsia="es-ES"/>
        </w:rPr>
        <w:pict>
          <v:shape id="Cuadro de texto 14" o:spid="_x0000_s1029" type="#_x0000_t202" style="position:absolute;margin-left:1.45pt;margin-top:141.1pt;width:20pt;height:20.9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MSNgIAAF8EAAAOAAAAZHJzL2Uyb0RvYy54bWysVNuO0zAQfUfiHyy/07TddtmNmq6WLkVI&#10;y0Va+ICp7TQWjsfYbpPy9YydtpRFvCD6YNmZ8Zkz54y7uOtbw/bKB4224pPRmDNlBUpttxX/+mX9&#10;6oazEMFKMGhVxQ8q8LvlyxeLzpVqig0aqTwjEBvKzlW8idGVRRFEo1oII3TKUrBG30Kko98W0kNH&#10;6K0ppuPxddGhl86jUCHQ14chyJcZv66ViJ/qOqjITMWJW8yrz+smrcVyAeXWg2u0ONKAf2DRgrZU&#10;9Az1ABHYzus/oFotPAas40hgW2Bda6FyD9TNZPysm6cGnMq9kDjBnWUK/w9WfNx/9kxL8m7GmYWW&#10;PFrtQHpkUrGo+oiMIiRT50JJ2U+O8mP/Bnu6klsO7hHFt8AsrhqwW3XvPXaNAkk0J+lmcXF1wAkJ&#10;ZNN9QEnlYBcxA/W1b5OGpAojdLLrcLaIiDBBH6fz2XhMEUGh6fV8dpUtLKA8XXY+xHcKW5Y2Ffc0&#10;ARkc9o8hJjJQnlJSrYBGy7U2Jh/8drMynu2BpmWdf5n/szRjWVfx2/l0PvT/VwhimsgOVX+r1OpI&#10;Y290W/GbcxKUSbW3VtIFKCNoM+yJsrFHGZNyg4ax3/TZuKuTOxuUB9LV4zDl9Cpp06D/wVlHE17x&#10;8H0HXnFm3lvy5nYym6UnkQ+z+espHfxlZHMZASsIquKRs2G7isMz2jmvtw1VGqbB4j35WeusdTJ+&#10;YHWkT1OcLTi+uPRMLs8569f/wvInAAAA//8DAFBLAwQUAAYACAAAACEAz4bimd4AAAAIAQAADwAA&#10;AGRycy9kb3ducmV2LnhtbEyPzU7DMBCE70i8g7VIXFDr4EYlDXEqhASCWykVXN14m0T4J9huGt6e&#10;7QlOq90ZzX5TrSdr2Igh9t5JuJ1nwNA1XveulbB7f5oVwGJSTivjHUr4wQjr+vKiUqX2J/eG4za1&#10;jEJcLJWELqWh5Dw2HVoV535AR9rBB6sSraHlOqgThVvDRZYtuVW9ow+dGvCxw+Zre7QSivxl/Iyv&#10;i81HszyYVbq5G5+/g5TXV9PDPbCEU/ozwxmf0KEmpr0/Oh2ZkSBWZKRRCAGM9Px82EtYiDwDXlf8&#10;f4H6FwAA//8DAFBLAQItABQABgAIAAAAIQC2gziS/gAAAOEBAAATAAAAAAAAAAAAAAAAAAAAAABb&#10;Q29udGVudF9UeXBlc10ueG1sUEsBAi0AFAAGAAgAAAAhADj9If/WAAAAlAEAAAsAAAAAAAAAAAAA&#10;AAAALwEAAF9yZWxzLy5yZWxzUEsBAi0AFAAGAAgAAAAhAPgRcxI2AgAAXwQAAA4AAAAAAAAAAAAA&#10;AAAALgIAAGRycy9lMm9Eb2MueG1sUEsBAi0AFAAGAAgAAAAhAM+G4pneAAAACAEAAA8AAAAAAAAA&#10;AAAAAAAAkAQAAGRycy9kb3ducmV2LnhtbFBLBQYAAAAABAAEAPMAAACbBQAAAAA=&#10;">
            <v:textbox>
              <w:txbxContent>
                <w:p w:rsidR="00CC1F72" w:rsidRDefault="00CC1F72" w:rsidP="00CC1F72">
                  <w:r>
                    <w:t>C</w:t>
                  </w:r>
                </w:p>
              </w:txbxContent>
            </v:textbox>
          </v:shape>
        </w:pict>
      </w:r>
      <w:r w:rsidR="00CC1F72">
        <w:rPr>
          <w:rFonts w:ascii="Arial" w:hAnsi="Arial" w:cs="Arial"/>
          <w:b/>
          <w:sz w:val="24"/>
          <w:szCs w:val="24"/>
          <w:lang w:val="es-CO"/>
        </w:rPr>
        <w:t xml:space="preserve"> </w:t>
      </w:r>
      <w:r w:rsidR="00CC1F72">
        <w:rPr>
          <w:rFonts w:ascii="Times New Roman" w:eastAsia="Times New Roman" w:hAnsi="Times New Roman" w:cs="Times New Roman"/>
          <w:snapToGrid w:val="0"/>
          <w:color w:val="000000"/>
          <w:w w:val="1"/>
          <w:sz w:val="2"/>
          <w:szCs w:val="2"/>
          <w:bdr w:val="none" w:sz="0" w:space="0" w:color="auto" w:frame="1"/>
          <w:shd w:val="clear" w:color="auto" w:fill="000000"/>
          <w:lang w:val="es-CO"/>
        </w:rPr>
        <w:t xml:space="preserve"> </w:t>
      </w:r>
      <w:r w:rsidR="00CC1F72">
        <w:rPr>
          <w:rFonts w:ascii="Arial" w:hAnsi="Arial" w:cs="Arial"/>
          <w:b/>
          <w:sz w:val="24"/>
          <w:szCs w:val="24"/>
          <w:lang w:val="es-CO"/>
        </w:rPr>
        <w:t xml:space="preserve"> </w:t>
      </w:r>
      <w:r w:rsidR="00CC1F72">
        <w:rPr>
          <w:rFonts w:ascii="Arial" w:hAnsi="Arial" w:cs="Arial"/>
          <w:noProof/>
          <w:sz w:val="24"/>
          <w:szCs w:val="24"/>
          <w:lang w:eastAsia="es-ES"/>
        </w:rPr>
        <w:drawing>
          <wp:inline distT="0" distB="0" distL="0" distR="0">
            <wp:extent cx="2324100" cy="1704975"/>
            <wp:effectExtent l="0" t="0" r="0" b="9525"/>
            <wp:docPr id="7" name="Imagen 7" descr="Descripción: Descripción: C:\Users\Juan Manuel Lopez\Desktop\ectima gangrenoso\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C:\Users\Juan Manuel Lopez\Desktop\ectima gangrenoso\DSC01500.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704975"/>
                    </a:xfrm>
                    <a:prstGeom prst="rect">
                      <a:avLst/>
                    </a:prstGeom>
                    <a:noFill/>
                    <a:ln>
                      <a:noFill/>
                    </a:ln>
                  </pic:spPr>
                </pic:pic>
              </a:graphicData>
            </a:graphic>
          </wp:inline>
        </w:drawing>
      </w:r>
      <w:r w:rsidR="00CC1F72">
        <w:rPr>
          <w:rFonts w:ascii="Arial" w:hAnsi="Arial" w:cs="Arial"/>
          <w:noProof/>
          <w:sz w:val="24"/>
          <w:szCs w:val="24"/>
          <w:lang w:eastAsia="es-ES"/>
        </w:rPr>
        <w:drawing>
          <wp:inline distT="0" distB="0" distL="0" distR="0">
            <wp:extent cx="2647950" cy="1695450"/>
            <wp:effectExtent l="0" t="0" r="0" b="0"/>
            <wp:docPr id="6" name="Imagen 6" descr="Descripción: Descripción: C:\Users\Juan Manuel Lopez\Desktop\ectima gangrenoso\DSC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Juan Manuel Lopez\Desktop\ectima gangrenoso\DSC0150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695450"/>
                    </a:xfrm>
                    <a:prstGeom prst="rect">
                      <a:avLst/>
                    </a:prstGeom>
                    <a:noFill/>
                    <a:ln>
                      <a:noFill/>
                    </a:ln>
                  </pic:spPr>
                </pic:pic>
              </a:graphicData>
            </a:graphic>
          </wp:inline>
        </w:drawing>
      </w:r>
      <w:r w:rsidR="00CC1F72">
        <w:rPr>
          <w:rFonts w:ascii="Arial" w:hAnsi="Arial" w:cs="Arial"/>
          <w:b/>
          <w:sz w:val="24"/>
          <w:szCs w:val="24"/>
        </w:rPr>
        <w:t xml:space="preserve">  </w:t>
      </w:r>
    </w:p>
    <w:p w:rsidR="00CC1F72" w:rsidRDefault="00CC1F72" w:rsidP="00CC1F72">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Arial" w:hAnsi="Arial" w:cs="Arial"/>
          <w:b/>
          <w:sz w:val="24"/>
          <w:szCs w:val="24"/>
        </w:rPr>
      </w:pPr>
    </w:p>
    <w:p w:rsidR="00CC1F72" w:rsidRDefault="00CC1F72" w:rsidP="00CC1F72">
      <w:pPr>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Arial" w:hAnsi="Arial" w:cs="Arial"/>
          <w:b/>
          <w:sz w:val="24"/>
          <w:szCs w:val="24"/>
        </w:rPr>
      </w:pPr>
    </w:p>
    <w:p w:rsidR="001C4A41" w:rsidRDefault="00CC1F72" w:rsidP="00CC1F72">
      <w:pPr>
        <w:pBdr>
          <w:top w:val="single" w:sz="4" w:space="1" w:color="auto"/>
          <w:left w:val="single" w:sz="4" w:space="5" w:color="auto"/>
          <w:bottom w:val="single" w:sz="4" w:space="1" w:color="auto"/>
          <w:right w:val="single" w:sz="4" w:space="4" w:color="auto"/>
        </w:pBdr>
        <w:jc w:val="both"/>
        <w:rPr>
          <w:rFonts w:ascii="Arial" w:hAnsi="Arial" w:cs="Arial"/>
          <w:b/>
        </w:rPr>
      </w:pPr>
      <w:r>
        <w:rPr>
          <w:rFonts w:ascii="Arial" w:hAnsi="Arial" w:cs="Arial"/>
          <w:b/>
        </w:rPr>
        <w:t xml:space="preserve">Figura 1. ABCD. </w:t>
      </w:r>
      <w:r>
        <w:rPr>
          <w:rFonts w:ascii="Arial" w:hAnsi="Arial" w:cs="Arial"/>
        </w:rPr>
        <w:t>Maculas y pápulas eritemato</w:t>
      </w:r>
      <w:r w:rsidR="004B0096">
        <w:rPr>
          <w:rFonts w:ascii="Arial" w:hAnsi="Arial" w:cs="Arial"/>
        </w:rPr>
        <w:t>-</w:t>
      </w:r>
      <w:r>
        <w:rPr>
          <w:rFonts w:ascii="Arial" w:hAnsi="Arial" w:cs="Arial"/>
        </w:rPr>
        <w:t>descamativas con bordes irregulares. Ulceras profundas, redondas múltiples, algunas en sacabocado y tejido ulcerativo con fondo necrótico.</w:t>
      </w:r>
      <w:r>
        <w:rPr>
          <w:rFonts w:ascii="Arial" w:hAnsi="Arial" w:cs="Arial"/>
          <w:b/>
        </w:rPr>
        <w:t xml:space="preserve"> </w:t>
      </w:r>
    </w:p>
    <w:p w:rsidR="00FB7310" w:rsidRPr="001C4A41" w:rsidRDefault="00FB7310" w:rsidP="00CC1F72">
      <w:pPr>
        <w:pBdr>
          <w:top w:val="single" w:sz="4" w:space="1" w:color="auto"/>
          <w:left w:val="single" w:sz="4" w:space="5" w:color="auto"/>
          <w:bottom w:val="single" w:sz="4" w:space="1" w:color="auto"/>
          <w:right w:val="single" w:sz="4" w:space="4" w:color="auto"/>
        </w:pBdr>
        <w:jc w:val="both"/>
        <w:rPr>
          <w:rFonts w:ascii="Arial" w:hAnsi="Arial" w:cs="Arial"/>
          <w:b/>
        </w:rPr>
      </w:pPr>
    </w:p>
    <w:p w:rsidR="00CC1F72" w:rsidRDefault="00165027" w:rsidP="00CC1F72">
      <w:pPr>
        <w:pBdr>
          <w:top w:val="single" w:sz="4" w:space="1" w:color="auto"/>
          <w:left w:val="single" w:sz="4" w:space="4" w:color="auto"/>
          <w:bottom w:val="single" w:sz="4" w:space="25" w:color="auto"/>
          <w:right w:val="single" w:sz="4" w:space="4" w:color="auto"/>
        </w:pBdr>
        <w:rPr>
          <w:rFonts w:ascii="Arial" w:hAnsi="Arial" w:cs="Arial"/>
          <w:sz w:val="24"/>
          <w:szCs w:val="24"/>
        </w:rPr>
      </w:pPr>
      <w:r w:rsidRPr="00165027">
        <w:rPr>
          <w:noProof/>
          <w:lang w:eastAsia="es-ES"/>
        </w:rPr>
        <w:lastRenderedPageBreak/>
        <w:pict>
          <v:shape id="Cuadro de texto 11" o:spid="_x0000_s1030" type="#_x0000_t202" style="position:absolute;margin-left:-.05pt;margin-top:160.2pt;width:20pt;height:20.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XiNQIAAF8EAAAOAAAAZHJzL2Uyb0RvYy54bWysVNuOGjEMfa/Uf4jyXgYobHdHDKstW6pK&#10;24u07QeEJMNEzcSpE5ihX79OBii9vVTlIYrH9snxsc3itm8t22sMBlzFJ6MxZ9pJUMZtK/7l8/rF&#10;NWchCqeEBacrftCB3y6fP1t0vtRTaMAqjYxAXCg7X/EmRl8WRZCNbkUYgdeOnDVgKyKZuC0Uio7Q&#10;W1tMx+OrogNUHkHqEOjr/eDky4xf11rGj3UddGS24sQt5hPzuUlnsVyIcovCN0YeaYh/YNEK4+jR&#10;M9S9iILt0PwG1RqJEKCOIwltAXVtpM41UDWT8S/VPDbC61wLiRP8Wabw/2Dlh/0nZEZR7yacOdFS&#10;j1Y7oRCY0izqPgIjD8nU+VBS9KOn+Ni/hp5ScsnBP4D8GpiDVSPcVt8hQtdooYhmziwuUgeckEA2&#10;3XtQ9JzYRchAfY1t0pBUYYRO7TqcW0REmKSP0/lsPCaPJNf0aj57mVtYiPKU7DHEtxpali4VR5qA&#10;DC72DyFSGRR6CklvBbBGrY212cDtZmWR7QVNyzr/UuWU8lOYdayr+M18Oh/q/ysEMU1k/wDRmkhj&#10;b01b8etzkCiTam+cogRRRmHscKf3rSMaScak3KBh7Dd9btzs1J0NqAPpijBMOW0lXRrA75x1NOEV&#10;D992AjVn9p2j3txMZrO0EtmYzV9NycBLz+bSI5wkqIpHzobrKg5rtPNotg29NEyDgzvqZ22y1onx&#10;wOpIn6Y463ncuLQml3aO+vG/sHwCAAD//wMAUEsDBBQABgAIAAAAIQCuKLuO3wAAAAgBAAAPAAAA&#10;ZHJzL2Rvd25yZXYueG1sTI/BTsMwEETvSPyDtUhcUOs0qUIT4lQICQQ3KAiubrxNIuJ1sN00/D3L&#10;CU6j1Yxm3lbb2Q5iQh96RwpWywQEUuNMT62Ct9f7xQZEiJqMHhyhgm8MsK3PzypdGneiF5x2sRVc&#10;QqHUCroYx1LK0HRodVi6EYm9g/NWRz59K43XJy63g0yTJJdW98QLnR7xrsPmc3e0Cjbrx+kjPGXP&#10;701+GIp4dT09fHmlLi/m2xsQEef4F4ZffEaHmpn27kgmiEHBYsVBBVmarEGwnxUFiD1rnqYg60r+&#10;f6D+AQAA//8DAFBLAQItABQABgAIAAAAIQC2gziS/gAAAOEBAAATAAAAAAAAAAAAAAAAAAAAAABb&#10;Q29udGVudF9UeXBlc10ueG1sUEsBAi0AFAAGAAgAAAAhADj9If/WAAAAlAEAAAsAAAAAAAAAAAAA&#10;AAAALwEAAF9yZWxzLy5yZWxzUEsBAi0AFAAGAAgAAAAhADJnheI1AgAAXwQAAA4AAAAAAAAAAAAA&#10;AAAALgIAAGRycy9lMm9Eb2MueG1sUEsBAi0AFAAGAAgAAAAhAK4ou47fAAAACAEAAA8AAAAAAAAA&#10;AAAAAAAAjwQAAGRycy9kb3ducmV2LnhtbFBLBQYAAAAABAAEAPMAAACbBQAAAAA=&#10;">
            <v:textbox>
              <w:txbxContent>
                <w:p w:rsidR="00CC1F72" w:rsidRDefault="00CC1F72" w:rsidP="00CC1F72">
                  <w:r>
                    <w:t>C</w:t>
                  </w:r>
                </w:p>
              </w:txbxContent>
            </v:textbox>
          </v:shape>
        </w:pict>
      </w:r>
      <w:r w:rsidRPr="00165027">
        <w:rPr>
          <w:noProof/>
          <w:lang w:eastAsia="es-ES"/>
        </w:rPr>
        <w:pict>
          <v:shape id="Cuadro de texto 9" o:spid="_x0000_s1031" type="#_x0000_t202" style="position:absolute;margin-left:1.45pt;margin-top:1.95pt;width:20pt;height:20.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w:txbxContent>
                <w:p w:rsidR="00CC1F72" w:rsidRDefault="00CC1F72" w:rsidP="00CC1F72">
                  <w:r>
                    <w:t>A</w:t>
                  </w:r>
                </w:p>
              </w:txbxContent>
            </v:textbox>
          </v:shape>
        </w:pict>
      </w:r>
      <w:r w:rsidRPr="00165027">
        <w:rPr>
          <w:noProof/>
          <w:lang w:eastAsia="es-ES"/>
        </w:rPr>
        <w:pict>
          <v:shape id="Cuadro de texto 10" o:spid="_x0000_s1032" type="#_x0000_t202" style="position:absolute;margin-left:396.7pt;margin-top:5.7pt;width:20pt;height:20.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NQIAAF8EAAAOAAAAZHJzL2Uyb0RvYy54bWysVNuOGjEMfa/Uf4jyXgYo0N0Rw2rLlqrS&#10;9iJt+wEmyTBRM3GaBGa2X79OBijdqi9VeYjisXN8fGyzvOlbww7KB4224pPRmDNlBUptdxX/9nXz&#10;6oqzEMFKMGhVxR9V4Derly+WnSvVFBs0UnlGIDaUnat4E6MriyKIRrUQRuiUJWeNvoVIpt8V0kNH&#10;6K0ppuPxoujQS+dRqBDo693g5KuMX9dKxM91HVRkpuLELebT53ObzmK1hHLnwTVaHGnAP7BoQVtK&#10;eoa6gwhs7/UfUK0WHgPWcSSwLbCutVC5BqpmMn5WzUMDTuVaSJzgzjKF/wcrPh2+eKYl9Y7ksdBS&#10;j9Z7kB6ZVCyqPiIjD8nUuVBS9IOj+Ni/xZ6e5JKDu0fxPTCL6wbsTt16j12jQBLNSXpZXDwdcEIC&#10;2XYfUVI62EfMQH3t26QhqcIInfg8nltERJigj9P5bDwmjyDXdDGfvc7cCihPj50P8b3ClqVLxT1N&#10;QAaHw32IiQyUp5CUK6DRcqONyYbfbdfGswPQtGzyL/N/FmYs6yp+PZ/Oh/r/CkFME9kh62+ZWh1p&#10;7I1uK351DoIyqfbOSnoAZQRthjtRNvYoY1Ju0DD22z43bnHqzhblI+nqcZhy2kq6NOh/ctbRhFc8&#10;/NiDV5yZD5Z6cz2ZzdJKZGM2fzMlw196tpcesIKgKh45G67rOKzR3nm9ayjTMA0Wb6mftc5ap8YP&#10;rI70aYpzC44bl9bk0s5Rv/4XVk8AAAD//wMAUEsDBBQABgAIAAAAIQAY0GC63wAAAAkBAAAPAAAA&#10;ZHJzL2Rvd25yZXYueG1sTI9BT8MwDIXvSPyHyEhcEEu3jq0rTSeEBIIbbBNcs8ZrKxqnJFlX/j3e&#10;CU6W/Z6ev1esR9uJAX1oHSmYThIQSJUzLdUKdtun2wxEiJqM7hyhgh8MsC4vLwqdG3eidxw2sRYc&#10;QiHXCpoY+1zKUDVodZi4Hom1g/NWR159LY3XJw63nZwlyUJa3RJ/aHSPjw1WX5ujVZDNX4bP8Jq+&#10;fVSLQ7eKN8vh+dsrdX01PtyDiDjGPzOc8RkdSmbauyOZIDoFy1U6ZysLU55syNLzYa/gLp2BLAv5&#10;v0H5CwAA//8DAFBLAQItABQABgAIAAAAIQC2gziS/gAAAOEBAAATAAAAAAAAAAAAAAAAAAAAAABb&#10;Q29udGVudF9UeXBlc10ueG1sUEsBAi0AFAAGAAgAAAAhADj9If/WAAAAlAEAAAsAAAAAAAAAAAAA&#10;AAAALwEAAF9yZWxzLy5yZWxzUEsBAi0AFAAGAAgAAAAhABEv7VE1AgAAXwQAAA4AAAAAAAAAAAAA&#10;AAAALgIAAGRycy9lMm9Eb2MueG1sUEsBAi0AFAAGAAgAAAAhABjQYLrfAAAACQEAAA8AAAAAAAAA&#10;AAAAAAAAjwQAAGRycy9kb3ducmV2LnhtbFBLBQYAAAAABAAEAPMAAACbBQAAAAA=&#10;">
            <v:textbox>
              <w:txbxContent>
                <w:p w:rsidR="00CC1F72" w:rsidRDefault="00CC1F72" w:rsidP="00CC1F72">
                  <w:r>
                    <w:t>B</w:t>
                  </w:r>
                </w:p>
              </w:txbxContent>
            </v:textbox>
          </v:shape>
        </w:pict>
      </w:r>
      <w:r w:rsidRPr="00165027">
        <w:rPr>
          <w:noProof/>
          <w:lang w:eastAsia="es-ES"/>
        </w:rPr>
        <w:pict>
          <v:shape id="Cuadro de texto 12" o:spid="_x0000_s1033" type="#_x0000_t202" style="position:absolute;margin-left:398.2pt;margin-top:158.7pt;width:20pt;height:20.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4FNQIAAF8EAAAOAAAAZHJzL2Uyb0RvYy54bWysVNuO0zAQfUfiHyy/07Sh3UvUdLV0WYS0&#10;XKSFD5jaTmPheIztNlm+nrHTlrKIF0QfLDszPnPmnHGXN0Nn2F75oNHWfDaZcqasQKnttuZfv9y/&#10;uuIsRLASDFpV8ycV+M3q5Ytl7ypVYotGKs8IxIaqdzVvY3RVUQTRqg7CBJ2yFGzQdxDp6LeF9NAT&#10;emeKcjq9KHr00nkUKgT6ejcG+SrjN40S8VPTBBWZqTlxi3n1ed2ktVgtodp6cK0WBxrwDyw60JaK&#10;nqDuIALbef0HVKeFx4BNnAjsCmwaLVTugbqZTZ9189iCU7kXEie4k0zh/8GKj/vPnmlJ3pWcWejI&#10;o/UOpEcmFYtqiMgoQjL1LlSU/egoPw5vcKArueXgHlB8C8ziugW7VbfeY98qkERzlm4WZ1dHnJBA&#10;Nv0HlFQOdhEz0ND4LmlIqjBCJ7ueThYRESboY7mYT6cUERQqLxbz19nCAqrjZedDfKewY2lTc08T&#10;kMFh/xBiIgPVMSXVCmi0vNfG5IPfbtbGsz3QtNznX+b/LM1Y1tf8elEuxv7/CkFME9mx6m+VOh1p&#10;7I3uan51SoIqqfbWSroAVQRtxj1RNvYgY1Ju1DAOmyEbd3l0Z4PyiXT1OE45vUratOh/cNbThNc8&#10;fN+BV5yZ95a8uZ7N5+lJ5MN8cVnSwZ9HNucRsIKgah45G7frOD6jnfN621KlcRos3pKfjc5aJ+NH&#10;Vgf6NMXZgsOLS8/k/Jyzfv0vrH4CAAD//wMAUEsDBBQABgAIAAAAIQCt74PS4AAAAAsBAAAPAAAA&#10;ZHJzL2Rvd25yZXYueG1sTI/NTsMwEITvSLyDtUhcEHXalPwRp0JIILhBQXB1YzeJsNfBdtPw9mxP&#10;cNudGc1+W29ma9ikfRgcClguEmAaW6cG7AS8vz1cF8BClKikcagF/OgAm+b8rJaVckd81dM2doxK&#10;MFRSQB/jWHEe2l5bGRZu1Eje3nkrI62+48rLI5Vbw1dJknErB6QLvRz1fa/br+3BCijWT9NneE5f&#10;Ptpsb8p4lU+P316Iy4v57hZY1HP8C8MJn9ChIaadO6AKzAjIy2xNUQHpMqeBEkV6Unak3JQr4E3N&#10;///Q/AIAAP//AwBQSwECLQAUAAYACAAAACEAtoM4kv4AAADhAQAAEwAAAAAAAAAAAAAAAAAAAAAA&#10;W0NvbnRlbnRfVHlwZXNdLnhtbFBLAQItABQABgAIAAAAIQA4/SH/1gAAAJQBAAALAAAAAAAAAAAA&#10;AAAAAC8BAABfcmVscy8ucmVsc1BLAQItABQABgAIAAAAIQC0wY4FNQIAAF8EAAAOAAAAAAAAAAAA&#10;AAAAAC4CAABkcnMvZTJvRG9jLnhtbFBLAQItABQABgAIAAAAIQCt74PS4AAAAAsBAAAPAAAAAAAA&#10;AAAAAAAAAI8EAABkcnMvZG93bnJldi54bWxQSwUGAAAAAAQABADzAAAAnAUAAAAA&#10;">
            <v:textbox>
              <w:txbxContent>
                <w:p w:rsidR="00CC1F72" w:rsidRDefault="00CC1F72" w:rsidP="00CC1F72">
                  <w:r>
                    <w:t>D</w:t>
                  </w:r>
                </w:p>
              </w:txbxContent>
            </v:textbox>
          </v:shape>
        </w:pict>
      </w:r>
      <w:r w:rsidR="00CC1F72">
        <w:rPr>
          <w:rFonts w:ascii="Arial" w:hAnsi="Arial" w:cs="Arial"/>
          <w:noProof/>
          <w:sz w:val="24"/>
          <w:szCs w:val="24"/>
          <w:lang w:eastAsia="es-ES"/>
        </w:rPr>
        <w:drawing>
          <wp:inline distT="0" distB="0" distL="0" distR="0">
            <wp:extent cx="2676525" cy="1990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r w:rsidR="00CC1F72">
        <w:rPr>
          <w:rFonts w:ascii="Arial" w:hAnsi="Arial" w:cs="Arial"/>
          <w:noProof/>
          <w:sz w:val="24"/>
          <w:szCs w:val="24"/>
          <w:lang w:eastAsia="es-ES"/>
        </w:rPr>
        <w:drawing>
          <wp:inline distT="0" distB="0" distL="0" distR="0">
            <wp:extent cx="2628900" cy="1914525"/>
            <wp:effectExtent l="0" t="0" r="0" b="9525"/>
            <wp:docPr id="4" name="Imagen 4" descr="Descripción: Descripción: C:\Users\Juan Manuel Lopez\Desktop\ectima gangrenoso\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Juan Manuel Lopez\Desktop\ectima gangrenoso\DSC01516.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r w:rsidR="00CC1F72">
        <w:rPr>
          <w:rFonts w:ascii="Arial" w:hAnsi="Arial" w:cs="Arial"/>
          <w:noProof/>
          <w:sz w:val="24"/>
          <w:szCs w:val="24"/>
          <w:lang w:eastAsia="es-ES"/>
        </w:rPr>
        <w:drawing>
          <wp:inline distT="0" distB="0" distL="0" distR="0">
            <wp:extent cx="2667000" cy="1762125"/>
            <wp:effectExtent l="0" t="0" r="0" b="9525"/>
            <wp:docPr id="3" name="Imagen 3" descr="Descripción: F:\DERMATOLOGIA\hospital de buga.computador\hospital buga mayo 2011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F:\DERMATOLOGIA\hospital de buga.computador\hospital buga mayo 2011 126.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029"/>
                    <a:stretch>
                      <a:fillRect/>
                    </a:stretch>
                  </pic:blipFill>
                  <pic:spPr bwMode="auto">
                    <a:xfrm>
                      <a:off x="0" y="0"/>
                      <a:ext cx="2667000" cy="1762125"/>
                    </a:xfrm>
                    <a:prstGeom prst="rect">
                      <a:avLst/>
                    </a:prstGeom>
                    <a:noFill/>
                    <a:ln>
                      <a:noFill/>
                    </a:ln>
                  </pic:spPr>
                </pic:pic>
              </a:graphicData>
            </a:graphic>
          </wp:inline>
        </w:drawing>
      </w:r>
      <w:r w:rsidR="00CC1F72">
        <w:rPr>
          <w:rFonts w:ascii="Garamond-LightItalic" w:hAnsi="Garamond-LightItalic" w:cs="Garamond-LightItalic"/>
          <w:i/>
          <w:noProof/>
          <w:color w:val="231F20"/>
          <w:sz w:val="18"/>
          <w:szCs w:val="18"/>
          <w:lang w:eastAsia="es-ES"/>
        </w:rPr>
        <w:drawing>
          <wp:inline distT="0" distB="0" distL="0" distR="0">
            <wp:extent cx="2628900" cy="1781175"/>
            <wp:effectExtent l="0" t="0" r="0" b="9525"/>
            <wp:docPr id="2" name="Imagen 2" descr="Descripción: Descripción: C:\Users\Juan Manuel Lopez\Desktop\ectima gangrenoso\DSC0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escripción: C:\Users\Juan Manuel Lopez\Desktop\ectima gangrenoso\DSC015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781175"/>
                    </a:xfrm>
                    <a:prstGeom prst="rect">
                      <a:avLst/>
                    </a:prstGeom>
                    <a:noFill/>
                    <a:ln>
                      <a:noFill/>
                    </a:ln>
                  </pic:spPr>
                </pic:pic>
              </a:graphicData>
            </a:graphic>
          </wp:inline>
        </w:drawing>
      </w:r>
    </w:p>
    <w:p w:rsidR="00CC1F72" w:rsidRDefault="00CC1F72" w:rsidP="00CC1F72">
      <w:pPr>
        <w:pBdr>
          <w:top w:val="single" w:sz="4" w:space="1" w:color="auto"/>
          <w:left w:val="single" w:sz="4" w:space="5" w:color="auto"/>
          <w:bottom w:val="single" w:sz="4" w:space="1" w:color="auto"/>
          <w:right w:val="single" w:sz="4" w:space="4" w:color="auto"/>
        </w:pBdr>
        <w:jc w:val="both"/>
        <w:rPr>
          <w:rFonts w:ascii="Arial" w:hAnsi="Arial" w:cs="Arial"/>
          <w:b/>
          <w:sz w:val="24"/>
          <w:szCs w:val="24"/>
        </w:rPr>
      </w:pPr>
      <w:r>
        <w:rPr>
          <w:rFonts w:ascii="Arial" w:hAnsi="Arial" w:cs="Arial"/>
          <w:b/>
        </w:rPr>
        <w:t xml:space="preserve">Figura 2. ABCD. </w:t>
      </w:r>
      <w:r>
        <w:rPr>
          <w:rFonts w:ascii="Arial" w:hAnsi="Arial" w:cs="Arial"/>
        </w:rPr>
        <w:t xml:space="preserve"> Ulceras profundas,</w:t>
      </w:r>
      <w:r w:rsidR="004F16B2">
        <w:rPr>
          <w:rFonts w:ascii="Arial" w:hAnsi="Arial" w:cs="Arial"/>
        </w:rPr>
        <w:t xml:space="preserve"> grandes, </w:t>
      </w:r>
      <w:r>
        <w:rPr>
          <w:rFonts w:ascii="Arial" w:hAnsi="Arial" w:cs="Arial"/>
        </w:rPr>
        <w:t xml:space="preserve"> redondas</w:t>
      </w:r>
      <w:r w:rsidR="004F16B2">
        <w:rPr>
          <w:rFonts w:ascii="Arial" w:hAnsi="Arial" w:cs="Arial"/>
        </w:rPr>
        <w:t>,</w:t>
      </w:r>
      <w:r>
        <w:rPr>
          <w:rFonts w:ascii="Arial" w:hAnsi="Arial" w:cs="Arial"/>
        </w:rPr>
        <w:t xml:space="preserve"> múltiples, algunas en sacabocado y tejid</w:t>
      </w:r>
      <w:r w:rsidR="004F16B2">
        <w:rPr>
          <w:rFonts w:ascii="Arial" w:hAnsi="Arial" w:cs="Arial"/>
        </w:rPr>
        <w:t>o ulcero-necrotico</w:t>
      </w:r>
      <w:r>
        <w:rPr>
          <w:rFonts w:ascii="Arial" w:hAnsi="Arial" w:cs="Arial"/>
        </w:rPr>
        <w:t>.</w:t>
      </w:r>
      <w:r>
        <w:rPr>
          <w:rFonts w:ascii="Arial" w:hAnsi="Arial" w:cs="Arial"/>
          <w:b/>
        </w:rPr>
        <w:t xml:space="preserve"> </w:t>
      </w: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tbl>
      <w:tblPr>
        <w:tblStyle w:val="Tablaconcuadrcula"/>
        <w:tblW w:w="0" w:type="auto"/>
        <w:tblLook w:val="04A0"/>
      </w:tblPr>
      <w:tblGrid>
        <w:gridCol w:w="8644"/>
      </w:tblGrid>
      <w:tr w:rsidR="00CC1F72" w:rsidTr="00CC1F72">
        <w:tc>
          <w:tcPr>
            <w:tcW w:w="8644" w:type="dxa"/>
            <w:tcBorders>
              <w:top w:val="single" w:sz="4" w:space="0" w:color="auto"/>
              <w:left w:val="single" w:sz="4" w:space="0" w:color="auto"/>
              <w:bottom w:val="single" w:sz="4" w:space="0" w:color="auto"/>
              <w:right w:val="single" w:sz="4" w:space="0" w:color="auto"/>
            </w:tcBorders>
            <w:hideMark/>
          </w:tcPr>
          <w:p w:rsidR="00CC1F72" w:rsidRDefault="00CC1F72">
            <w:pPr>
              <w:autoSpaceDE w:val="0"/>
              <w:autoSpaceDN w:val="0"/>
              <w:adjustRightInd w:val="0"/>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4648200" cy="3486150"/>
                  <wp:effectExtent l="0" t="0" r="0" b="0"/>
                  <wp:docPr id="1" name="Imagen 1" descr="Descripción: C:\Users\rosalba\Pictures\ecti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osalba\Pictures\ectima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tc>
      </w:tr>
      <w:tr w:rsidR="00CC1F72" w:rsidTr="00CC1F72">
        <w:tc>
          <w:tcPr>
            <w:tcW w:w="8644" w:type="dxa"/>
            <w:tcBorders>
              <w:top w:val="single" w:sz="4" w:space="0" w:color="auto"/>
              <w:left w:val="single" w:sz="4" w:space="0" w:color="auto"/>
              <w:bottom w:val="single" w:sz="4" w:space="0" w:color="auto"/>
              <w:right w:val="single" w:sz="4" w:space="0" w:color="auto"/>
            </w:tcBorders>
            <w:hideMark/>
          </w:tcPr>
          <w:p w:rsidR="00CC1F72" w:rsidRDefault="00CC1F72" w:rsidP="004F16B2">
            <w:pPr>
              <w:autoSpaceDE w:val="0"/>
              <w:autoSpaceDN w:val="0"/>
              <w:adjustRightInd w:val="0"/>
              <w:rPr>
                <w:rFonts w:ascii="Arial" w:hAnsi="Arial" w:cs="Arial"/>
                <w:b/>
                <w:sz w:val="24"/>
                <w:szCs w:val="24"/>
              </w:rPr>
            </w:pPr>
            <w:r>
              <w:rPr>
                <w:rFonts w:ascii="Arial" w:hAnsi="Arial" w:cs="Arial"/>
                <w:b/>
                <w:sz w:val="24"/>
                <w:szCs w:val="24"/>
              </w:rPr>
              <w:t xml:space="preserve">Figura3: </w:t>
            </w:r>
            <w:r>
              <w:rPr>
                <w:rFonts w:ascii="Arial" w:hAnsi="Arial" w:cs="Arial"/>
                <w:sz w:val="24"/>
                <w:szCs w:val="24"/>
              </w:rPr>
              <w:t>Biopsia de piel: p</w:t>
            </w:r>
            <w:r w:rsidR="004F16B2">
              <w:rPr>
                <w:rFonts w:ascii="Arial" w:hAnsi="Arial" w:cs="Arial"/>
                <w:sz w:val="24"/>
                <w:szCs w:val="24"/>
              </w:rPr>
              <w:t>erdida de la arquitectura normal de la piel</w:t>
            </w:r>
            <w:r>
              <w:rPr>
                <w:rFonts w:ascii="Arial" w:hAnsi="Arial" w:cs="Arial"/>
                <w:sz w:val="24"/>
                <w:szCs w:val="24"/>
              </w:rPr>
              <w:t>,</w:t>
            </w:r>
            <w:r w:rsidR="004F16B2">
              <w:rPr>
                <w:rFonts w:ascii="Arial" w:hAnsi="Arial" w:cs="Arial"/>
                <w:sz w:val="24"/>
                <w:szCs w:val="24"/>
              </w:rPr>
              <w:t xml:space="preserve"> necrosis y abundante exudado</w:t>
            </w:r>
            <w:r>
              <w:rPr>
                <w:rFonts w:ascii="Arial" w:hAnsi="Arial" w:cs="Arial"/>
                <w:sz w:val="24"/>
                <w:szCs w:val="24"/>
              </w:rPr>
              <w:t xml:space="preserve"> </w:t>
            </w:r>
            <w:r w:rsidR="004F16B2">
              <w:rPr>
                <w:rFonts w:ascii="Arial" w:hAnsi="Arial" w:cs="Arial"/>
                <w:sz w:val="24"/>
                <w:szCs w:val="24"/>
              </w:rPr>
              <w:t xml:space="preserve"> </w:t>
            </w:r>
            <w:r>
              <w:rPr>
                <w:rFonts w:ascii="Arial" w:hAnsi="Arial" w:cs="Arial"/>
                <w:sz w:val="24"/>
                <w:szCs w:val="24"/>
              </w:rPr>
              <w:t>y</w:t>
            </w:r>
            <w:r w:rsidR="004F16B2">
              <w:rPr>
                <w:rFonts w:ascii="Arial" w:hAnsi="Arial" w:cs="Arial"/>
                <w:sz w:val="24"/>
                <w:szCs w:val="24"/>
              </w:rPr>
              <w:t xml:space="preserve"> gran </w:t>
            </w:r>
            <w:r>
              <w:rPr>
                <w:rFonts w:ascii="Arial" w:hAnsi="Arial" w:cs="Arial"/>
                <w:sz w:val="24"/>
                <w:szCs w:val="24"/>
              </w:rPr>
              <w:t xml:space="preserve"> cantidad de cocos en la muestra.</w:t>
            </w:r>
          </w:p>
        </w:tc>
      </w:tr>
    </w:tbl>
    <w:p w:rsidR="00CC1F72" w:rsidRPr="00595E52" w:rsidRDefault="00CC1F72" w:rsidP="00CC1F72">
      <w:pPr>
        <w:autoSpaceDE w:val="0"/>
        <w:autoSpaceDN w:val="0"/>
        <w:adjustRightInd w:val="0"/>
        <w:spacing w:after="0" w:line="240" w:lineRule="auto"/>
        <w:rPr>
          <w:rFonts w:ascii="Arial" w:hAnsi="Arial" w:cs="Arial"/>
          <w:b/>
          <w:sz w:val="24"/>
          <w:szCs w:val="24"/>
        </w:rPr>
      </w:pPr>
    </w:p>
    <w:tbl>
      <w:tblPr>
        <w:tblStyle w:val="Tablaconcuadrcula"/>
        <w:tblW w:w="0" w:type="auto"/>
        <w:tblLook w:val="04A0"/>
      </w:tblPr>
      <w:tblGrid>
        <w:gridCol w:w="8644"/>
      </w:tblGrid>
      <w:tr w:rsidR="00D272B1" w:rsidTr="00D272B1">
        <w:tc>
          <w:tcPr>
            <w:tcW w:w="8644" w:type="dxa"/>
          </w:tcPr>
          <w:p w:rsidR="00D272B1" w:rsidRDefault="00165027" w:rsidP="00D272B1">
            <w:pPr>
              <w:autoSpaceDE w:val="0"/>
              <w:autoSpaceDN w:val="0"/>
              <w:adjustRightInd w:val="0"/>
              <w:rPr>
                <w:rFonts w:ascii="Arial" w:hAnsi="Arial" w:cs="Arial"/>
                <w:b/>
                <w:sz w:val="24"/>
                <w:szCs w:val="24"/>
              </w:rPr>
            </w:pPr>
            <w:r w:rsidRPr="00165027">
              <w:rPr>
                <w:rFonts w:ascii="Arial" w:hAnsi="Arial" w:cs="Arial"/>
                <w:b/>
                <w:noProof/>
                <w:sz w:val="24"/>
                <w:szCs w:val="24"/>
                <w:lang w:val="es-CO" w:eastAsia="es-CO"/>
              </w:rPr>
              <w:pict>
                <v:shape id="_x0000_s1037" type="#_x0000_t202" style="position:absolute;margin-left:1.45pt;margin-top:1.1pt;width:20pt;height:20.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w:txbxContent>
                      <w:p w:rsidR="00D272B1" w:rsidRDefault="00D272B1" w:rsidP="00D272B1">
                        <w:r>
                          <w:t>A</w:t>
                        </w:r>
                      </w:p>
                    </w:txbxContent>
                  </v:textbox>
                </v:shape>
              </w:pict>
            </w:r>
            <w:r w:rsidRPr="00165027">
              <w:rPr>
                <w:rFonts w:ascii="Arial" w:hAnsi="Arial" w:cs="Arial"/>
                <w:b/>
                <w:noProof/>
                <w:sz w:val="24"/>
                <w:szCs w:val="24"/>
                <w:lang w:val="es-CO" w:eastAsia="es-CO"/>
              </w:rPr>
              <w:pict>
                <v:shape id="_x0000_s1038" type="#_x0000_t202" style="position:absolute;margin-left:359.2pt;margin-top:.35pt;width:20pt;height:20.9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NQIAAF8EAAAOAAAAZHJzL2Uyb0RvYy54bWysVNuOGjEMfa/Uf4jyXgYo0N0Rw2rLlqrS&#10;9iJt+wEmyTBRM3GaBGa2X79OBijdqi9VeYjisXN8fGyzvOlbww7KB4224pPRmDNlBUptdxX/9nXz&#10;6oqzEMFKMGhVxR9V4Derly+WnSvVFBs0UnlGIDaUnat4E6MriyKIRrUQRuiUJWeNvoVIpt8V0kNH&#10;6K0ppuPxoujQS+dRqBDo693g5KuMX9dKxM91HVRkpuLELebT53ObzmK1hHLnwTVaHGnAP7BoQVtK&#10;eoa6gwhs7/UfUK0WHgPWcSSwLbCutVC5BqpmMn5WzUMDTuVaSJzgzjKF/wcrPh2+eKYl9Y7ksdBS&#10;j9Z7kB6ZVCyqPiIjD8nUuVBS9IOj+Ni/xZ6e5JKDu0fxPTCL6wbsTt16j12jQBLNSXpZXDwdcEIC&#10;2XYfUVI62EfMQH3t26QhqcIInfg8nltERJigj9P5bDwmjyDXdDGfvc7cCihPj50P8b3ClqVLxT1N&#10;QAaHw32IiQyUp5CUK6DRcqONyYbfbdfGswPQtGzyL/N/FmYs6yp+PZ/Oh/r/CkFME9kh62+ZWh1p&#10;7I1uK351DoIyqfbOSnoAZQRthjtRNvYoY1Ju0DD22z43bnHqzhblI+nqcZhy2kq6NOh/ctbRhFc8&#10;/NiDV5yZD5Z6cz2ZzdJKZGM2fzMlw196tpcesIKgKh45G67rOKzR3nm9ayjTMA0Wb6mftc5ap8YP&#10;rI70aYpzC44bl9bk0s5Rv/4XVk8AAAD//wMAUEsDBBQABgAIAAAAIQAY0GC63wAAAAkBAAAPAAAA&#10;ZHJzL2Rvd25yZXYueG1sTI9BT8MwDIXvSPyHyEhcEEu3jq0rTSeEBIIbbBNcs8ZrKxqnJFlX/j3e&#10;CU6W/Z6ev1esR9uJAX1oHSmYThIQSJUzLdUKdtun2wxEiJqM7hyhgh8MsC4vLwqdG3eidxw2sRYc&#10;QiHXCpoY+1zKUDVodZi4Hom1g/NWR159LY3XJw63nZwlyUJa3RJ/aHSPjw1WX5ujVZDNX4bP8Jq+&#10;fVSLQ7eKN8vh+dsrdX01PtyDiDjGPzOc8RkdSmbauyOZIDoFy1U6ZysLU55syNLzYa/gLp2BLAv5&#10;v0H5CwAA//8DAFBLAQItABQABgAIAAAAIQC2gziS/gAAAOEBAAATAAAAAAAAAAAAAAAAAAAAAABb&#10;Q29udGVudF9UeXBlc10ueG1sUEsBAi0AFAAGAAgAAAAhADj9If/WAAAAlAEAAAsAAAAAAAAAAAAA&#10;AAAALwEAAF9yZWxzLy5yZWxzUEsBAi0AFAAGAAgAAAAhABEv7VE1AgAAXwQAAA4AAAAAAAAAAAAA&#10;AAAALgIAAGRycy9lMm9Eb2MueG1sUEsBAi0AFAAGAAgAAAAhABjQYLrfAAAACQEAAA8AAAAAAAAA&#10;AAAAAAAAjwQAAGRycy9kb3ducmV2LnhtbFBLBQYAAAAABAAEAPMAAACbBQAAAAA=&#10;">
                  <v:textbox>
                    <w:txbxContent>
                      <w:p w:rsidR="00D272B1" w:rsidRDefault="00D272B1" w:rsidP="00D272B1">
                        <w:r>
                          <w:t>B</w:t>
                        </w:r>
                      </w:p>
                    </w:txbxContent>
                  </v:textbox>
                </v:shape>
              </w:pict>
            </w:r>
            <w:r w:rsidR="00D272B1" w:rsidRPr="00595E52">
              <w:rPr>
                <w:rFonts w:ascii="Arial" w:hAnsi="Arial" w:cs="Arial"/>
                <w:b/>
                <w:noProof/>
                <w:sz w:val="24"/>
                <w:szCs w:val="24"/>
                <w:lang w:eastAsia="es-ES"/>
              </w:rPr>
              <w:drawing>
                <wp:inline distT="0" distB="0" distL="0" distR="0">
                  <wp:extent cx="2295525" cy="1933575"/>
                  <wp:effectExtent l="19050" t="0" r="9525" b="0"/>
                  <wp:docPr id="11" name="Imagen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95525" cy="19335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D272B1" w:rsidRPr="00595E52">
              <w:rPr>
                <w:rFonts w:ascii="Arial" w:hAnsi="Arial" w:cs="Arial"/>
                <w:b/>
                <w:noProof/>
                <w:sz w:val="24"/>
                <w:szCs w:val="24"/>
                <w:lang w:eastAsia="es-ES"/>
              </w:rPr>
              <w:drawing>
                <wp:inline distT="0" distB="0" distL="0" distR="0">
                  <wp:extent cx="2486025" cy="1933575"/>
                  <wp:effectExtent l="19050" t="0" r="9525" b="0"/>
                  <wp:docPr id="12" name="Imagen 2"/>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486025" cy="19335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380A9C" w:rsidRDefault="00380A9C" w:rsidP="00D272B1">
            <w:pPr>
              <w:autoSpaceDE w:val="0"/>
              <w:autoSpaceDN w:val="0"/>
              <w:adjustRightInd w:val="0"/>
              <w:rPr>
                <w:rFonts w:ascii="Arial" w:hAnsi="Arial" w:cs="Arial"/>
                <w:b/>
                <w:sz w:val="24"/>
                <w:szCs w:val="24"/>
              </w:rPr>
            </w:pPr>
          </w:p>
          <w:p w:rsidR="00D272B1" w:rsidRDefault="00165027" w:rsidP="00D272B1">
            <w:pPr>
              <w:autoSpaceDE w:val="0"/>
              <w:autoSpaceDN w:val="0"/>
              <w:adjustRightInd w:val="0"/>
              <w:jc w:val="center"/>
              <w:rPr>
                <w:rFonts w:ascii="Arial" w:hAnsi="Arial" w:cs="Arial"/>
                <w:b/>
                <w:sz w:val="24"/>
                <w:szCs w:val="24"/>
              </w:rPr>
            </w:pPr>
            <w:r w:rsidRPr="00165027">
              <w:rPr>
                <w:rFonts w:ascii="Arial" w:hAnsi="Arial" w:cs="Arial"/>
                <w:b/>
                <w:noProof/>
                <w:sz w:val="24"/>
                <w:szCs w:val="24"/>
                <w:lang w:val="es-CO" w:eastAsia="es-CO"/>
              </w:rPr>
              <w:pict>
                <v:shape id="_x0000_s1039" type="#_x0000_t202" style="position:absolute;left:0;text-align:left;margin-left:289.45pt;margin-top:1.25pt;width:20pt;height:20.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NQIAAF8EAAAOAAAAZHJzL2Uyb0RvYy54bWysVNuOGjEMfa/Uf4jyXgYo0N0Rw2rLlqrS&#10;9iJt+wEmyTBRM3GaBGa2X79OBijdqi9VeYjisXN8fGyzvOlbww7KB4224pPRmDNlBUptdxX/9nXz&#10;6oqzEMFKMGhVxR9V4Derly+WnSvVFBs0UnlGIDaUnat4E6MriyKIRrUQRuiUJWeNvoVIpt8V0kNH&#10;6K0ppuPxoujQS+dRqBDo693g5KuMX9dKxM91HVRkpuLELebT53ObzmK1hHLnwTVaHGnAP7BoQVtK&#10;eoa6gwhs7/UfUK0WHgPWcSSwLbCutVC5BqpmMn5WzUMDTuVaSJzgzjKF/wcrPh2+eKYl9Y7ksdBS&#10;j9Z7kB6ZVCyqPiIjD8nUuVBS9IOj+Ni/xZ6e5JKDu0fxPTCL6wbsTt16j12jQBLNSXpZXDwdcEIC&#10;2XYfUVI62EfMQH3t26QhqcIInfg8nltERJigj9P5bDwmjyDXdDGfvc7cCihPj50P8b3ClqVLxT1N&#10;QAaHw32IiQyUp5CUK6DRcqONyYbfbdfGswPQtGzyL/N/FmYs6yp+PZ/Oh/r/CkFME9kh62+ZWh1p&#10;7I1uK351DoIyqfbOSnoAZQRthjtRNvYoY1Ju0DD22z43bnHqzhblI+nqcZhy2kq6NOh/ctbRhFc8&#10;/NiDV5yZD5Z6cz2ZzdJKZGM2fzMlw196tpcesIKgKh45G67rOKzR3nm9ayjTMA0Wb6mftc5ap8YP&#10;rI70aYpzC44bl9bk0s5Rv/4XVk8AAAD//wMAUEsDBBQABgAIAAAAIQAY0GC63wAAAAkBAAAPAAAA&#10;ZHJzL2Rvd25yZXYueG1sTI9BT8MwDIXvSPyHyEhcEEu3jq0rTSeEBIIbbBNcs8ZrKxqnJFlX/j3e&#10;CU6W/Z6ev1esR9uJAX1oHSmYThIQSJUzLdUKdtun2wxEiJqM7hyhgh8MsC4vLwqdG3eidxw2sRYc&#10;QiHXCpoY+1zKUDVodZi4Hom1g/NWR159LY3XJw63nZwlyUJa3RJ/aHSPjw1WX5ujVZDNX4bP8Jq+&#10;fVSLQ7eKN8vh+dsrdX01PtyDiDjGPzOc8RkdSmbauyOZIDoFy1U6ZysLU55syNLzYa/gLp2BLAv5&#10;v0H5CwAA//8DAFBLAQItABQABgAIAAAAIQC2gziS/gAAAOEBAAATAAAAAAAAAAAAAAAAAAAAAABb&#10;Q29udGVudF9UeXBlc10ueG1sUEsBAi0AFAAGAAgAAAAhADj9If/WAAAAlAEAAAsAAAAAAAAAAAAA&#10;AAAALwEAAF9yZWxzLy5yZWxzUEsBAi0AFAAGAAgAAAAhABEv7VE1AgAAXwQAAA4AAAAAAAAAAAAA&#10;AAAALgIAAGRycy9lMm9Eb2MueG1sUEsBAi0AFAAGAAgAAAAhABjQYLrfAAAACQEAAA8AAAAAAAAA&#10;AAAAAAAAjwQAAGRycy9kb3ducmV2LnhtbFBLBQYAAAAABAAEAPMAAACbBQAAAAA=&#10;">
                  <v:textbox>
                    <w:txbxContent>
                      <w:p w:rsidR="00D272B1" w:rsidRPr="00D272B1" w:rsidRDefault="00D272B1" w:rsidP="00D272B1">
                        <w:pPr>
                          <w:rPr>
                            <w:lang w:val="es-CO"/>
                          </w:rPr>
                        </w:pPr>
                        <w:r>
                          <w:rPr>
                            <w:lang w:val="es-CO"/>
                          </w:rPr>
                          <w:t>C</w:t>
                        </w:r>
                      </w:p>
                    </w:txbxContent>
                  </v:textbox>
                </v:shape>
              </w:pict>
            </w:r>
            <w:r w:rsidR="00D272B1" w:rsidRPr="00D272B1">
              <w:rPr>
                <w:rFonts w:ascii="Arial" w:hAnsi="Arial" w:cs="Arial"/>
                <w:b/>
                <w:noProof/>
                <w:sz w:val="24"/>
                <w:szCs w:val="24"/>
                <w:lang w:eastAsia="es-ES"/>
              </w:rPr>
              <w:drawing>
                <wp:inline distT="0" distB="0" distL="0" distR="0">
                  <wp:extent cx="2514600" cy="1962150"/>
                  <wp:effectExtent l="19050" t="0" r="0" b="0"/>
                  <wp:docPr id="13" name="Imagen 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514791" cy="196229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D272B1" w:rsidRDefault="00D272B1" w:rsidP="00CC1F72">
            <w:pPr>
              <w:autoSpaceDE w:val="0"/>
              <w:autoSpaceDN w:val="0"/>
              <w:adjustRightInd w:val="0"/>
              <w:rPr>
                <w:rFonts w:ascii="Arial" w:hAnsi="Arial" w:cs="Arial"/>
                <w:b/>
                <w:sz w:val="24"/>
                <w:szCs w:val="24"/>
              </w:rPr>
            </w:pPr>
          </w:p>
        </w:tc>
      </w:tr>
      <w:tr w:rsidR="00D272B1" w:rsidTr="00D272B1">
        <w:tc>
          <w:tcPr>
            <w:tcW w:w="8644" w:type="dxa"/>
          </w:tcPr>
          <w:p w:rsidR="00454FB6" w:rsidRPr="00D272B1" w:rsidRDefault="00D272B1" w:rsidP="00D272B1">
            <w:pPr>
              <w:tabs>
                <w:tab w:val="num" w:pos="720"/>
              </w:tabs>
              <w:autoSpaceDE w:val="0"/>
              <w:autoSpaceDN w:val="0"/>
              <w:adjustRightInd w:val="0"/>
              <w:rPr>
                <w:rFonts w:ascii="Arial" w:hAnsi="Arial" w:cs="Arial"/>
                <w:sz w:val="24"/>
                <w:szCs w:val="24"/>
                <w:lang w:val="es-CO"/>
              </w:rPr>
            </w:pPr>
            <w:r w:rsidRPr="00595E52">
              <w:rPr>
                <w:rFonts w:ascii="Arial" w:hAnsi="Arial" w:cs="Arial"/>
                <w:b/>
                <w:sz w:val="24"/>
                <w:szCs w:val="24"/>
              </w:rPr>
              <w:t>Figura 4:</w:t>
            </w:r>
            <w:r w:rsidR="00380A9C" w:rsidRPr="00380A9C">
              <w:rPr>
                <w:rFonts w:ascii="Arial" w:hAnsi="Arial" w:cs="Arial"/>
                <w:sz w:val="24"/>
                <w:szCs w:val="24"/>
              </w:rPr>
              <w:t xml:space="preserve"> Biopsia de piel:</w:t>
            </w:r>
            <w:r w:rsidR="00380A9C" w:rsidRPr="00380A9C">
              <w:rPr>
                <w:rFonts w:ascii="Arial" w:hAnsi="Arial" w:cs="Arial"/>
                <w:b/>
                <w:sz w:val="24"/>
                <w:szCs w:val="24"/>
              </w:rPr>
              <w:t xml:space="preserve"> </w:t>
            </w:r>
            <w:r>
              <w:rPr>
                <w:rFonts w:ascii="Arial" w:hAnsi="Arial" w:cs="Arial"/>
                <w:b/>
                <w:sz w:val="24"/>
                <w:szCs w:val="24"/>
              </w:rPr>
              <w:t>AB.</w:t>
            </w:r>
            <w:r w:rsidRPr="00595E52">
              <w:rPr>
                <w:rFonts w:ascii="Arial" w:hAnsi="Arial" w:cs="Arial"/>
                <w:b/>
                <w:sz w:val="24"/>
                <w:szCs w:val="24"/>
              </w:rPr>
              <w:t xml:space="preserve"> </w:t>
            </w:r>
            <w:r w:rsidR="00FB7310">
              <w:rPr>
                <w:rFonts w:ascii="Arial" w:hAnsi="Arial" w:cs="Arial"/>
                <w:sz w:val="24"/>
                <w:szCs w:val="24"/>
                <w:lang w:val="es-CO"/>
              </w:rPr>
              <w:t>Acantosis, espongiosis, u</w:t>
            </w:r>
            <w:r w:rsidRPr="00595E52">
              <w:rPr>
                <w:rFonts w:ascii="Arial" w:hAnsi="Arial" w:cs="Arial"/>
                <w:sz w:val="24"/>
                <w:szCs w:val="24"/>
                <w:lang w:val="es-CO"/>
              </w:rPr>
              <w:t>lceración cubierta</w:t>
            </w:r>
            <w:r>
              <w:rPr>
                <w:rFonts w:ascii="Arial" w:hAnsi="Arial" w:cs="Arial"/>
                <w:sz w:val="24"/>
                <w:szCs w:val="24"/>
                <w:lang w:val="es-CO"/>
              </w:rPr>
              <w:t xml:space="preserve"> </w:t>
            </w:r>
            <w:r w:rsidR="00FB7310">
              <w:rPr>
                <w:rFonts w:ascii="Arial" w:hAnsi="Arial" w:cs="Arial"/>
                <w:sz w:val="24"/>
                <w:szCs w:val="24"/>
                <w:lang w:val="es-CO"/>
              </w:rPr>
              <w:t>por material necrótico, neutrófilos, e</w:t>
            </w:r>
            <w:r w:rsidRPr="00595E52">
              <w:rPr>
                <w:rFonts w:ascii="Arial" w:hAnsi="Arial" w:cs="Arial"/>
                <w:sz w:val="24"/>
                <w:szCs w:val="24"/>
                <w:lang w:val="es-CO"/>
              </w:rPr>
              <w:t>structuras cocoides bacterianas.</w:t>
            </w:r>
            <w:r>
              <w:rPr>
                <w:rFonts w:ascii="Arial" w:hAnsi="Arial" w:cs="Arial"/>
                <w:sz w:val="24"/>
                <w:szCs w:val="24"/>
                <w:lang w:val="es-CO"/>
              </w:rPr>
              <w:t xml:space="preserve"> </w:t>
            </w:r>
            <w:r>
              <w:rPr>
                <w:rFonts w:ascii="Arial" w:hAnsi="Arial" w:cs="Arial"/>
                <w:b/>
                <w:sz w:val="24"/>
                <w:szCs w:val="24"/>
                <w:lang w:val="es-CO"/>
              </w:rPr>
              <w:t xml:space="preserve">C. </w:t>
            </w:r>
            <w:r w:rsidR="006024DE" w:rsidRPr="00D272B1">
              <w:rPr>
                <w:rFonts w:ascii="Arial" w:hAnsi="Arial" w:cs="Arial"/>
                <w:sz w:val="24"/>
                <w:szCs w:val="24"/>
              </w:rPr>
              <w:t>Colonias de bacterias en tejido dérmico</w:t>
            </w:r>
            <w:r w:rsidRPr="00D272B1">
              <w:rPr>
                <w:rFonts w:ascii="Arial" w:hAnsi="Arial" w:cs="Arial"/>
                <w:sz w:val="24"/>
                <w:szCs w:val="24"/>
              </w:rPr>
              <w:t xml:space="preserve">, </w:t>
            </w:r>
            <w:r w:rsidR="00FB7310">
              <w:rPr>
                <w:rFonts w:ascii="Arial" w:hAnsi="Arial" w:cs="Arial"/>
                <w:sz w:val="24"/>
                <w:szCs w:val="24"/>
              </w:rPr>
              <w:t>e</w:t>
            </w:r>
            <w:r w:rsidR="006024DE" w:rsidRPr="00D272B1">
              <w:rPr>
                <w:rFonts w:ascii="Arial" w:hAnsi="Arial" w:cs="Arial"/>
                <w:sz w:val="24"/>
                <w:szCs w:val="24"/>
              </w:rPr>
              <w:t>n los capilares y filetes</w:t>
            </w:r>
            <w:r>
              <w:rPr>
                <w:rFonts w:ascii="Arial" w:hAnsi="Arial" w:cs="Arial"/>
                <w:sz w:val="24"/>
                <w:szCs w:val="24"/>
              </w:rPr>
              <w:t xml:space="preserve"> </w:t>
            </w:r>
            <w:r w:rsidR="006024DE" w:rsidRPr="00D272B1">
              <w:rPr>
                <w:rFonts w:ascii="Arial" w:hAnsi="Arial" w:cs="Arial"/>
                <w:sz w:val="24"/>
                <w:szCs w:val="24"/>
              </w:rPr>
              <w:t xml:space="preserve">nerviosos </w:t>
            </w:r>
          </w:p>
          <w:p w:rsidR="00D272B1" w:rsidRPr="00D272B1" w:rsidRDefault="00D272B1" w:rsidP="00CC1F72">
            <w:pPr>
              <w:autoSpaceDE w:val="0"/>
              <w:autoSpaceDN w:val="0"/>
              <w:adjustRightInd w:val="0"/>
              <w:rPr>
                <w:rFonts w:ascii="Arial" w:hAnsi="Arial" w:cs="Arial"/>
                <w:b/>
                <w:sz w:val="24"/>
                <w:szCs w:val="24"/>
                <w:lang w:val="es-CO"/>
              </w:rPr>
            </w:pPr>
          </w:p>
        </w:tc>
      </w:tr>
    </w:tbl>
    <w:p w:rsidR="00CC1F72" w:rsidRDefault="00CC1F72" w:rsidP="00CC1F72">
      <w:pPr>
        <w:autoSpaceDE w:val="0"/>
        <w:autoSpaceDN w:val="0"/>
        <w:adjustRightInd w:val="0"/>
        <w:spacing w:after="0" w:line="240" w:lineRule="auto"/>
        <w:rPr>
          <w:rFonts w:ascii="Arial" w:hAnsi="Arial" w:cs="Arial"/>
          <w:b/>
          <w:sz w:val="24"/>
          <w:szCs w:val="24"/>
        </w:rPr>
      </w:pPr>
    </w:p>
    <w:tbl>
      <w:tblPr>
        <w:tblStyle w:val="Tablaconcuadrcula"/>
        <w:tblW w:w="0" w:type="auto"/>
        <w:tblLook w:val="04A0"/>
      </w:tblPr>
      <w:tblGrid>
        <w:gridCol w:w="8644"/>
      </w:tblGrid>
      <w:tr w:rsidR="00D272B1" w:rsidTr="00D272B1">
        <w:tc>
          <w:tcPr>
            <w:tcW w:w="8644" w:type="dxa"/>
          </w:tcPr>
          <w:p w:rsidR="00D272B1" w:rsidRDefault="00165027" w:rsidP="00CC1F72">
            <w:pPr>
              <w:autoSpaceDE w:val="0"/>
              <w:autoSpaceDN w:val="0"/>
              <w:adjustRightInd w:val="0"/>
              <w:rPr>
                <w:rFonts w:ascii="Arial" w:hAnsi="Arial" w:cs="Arial"/>
                <w:b/>
                <w:sz w:val="24"/>
                <w:szCs w:val="24"/>
              </w:rPr>
            </w:pPr>
            <w:r w:rsidRPr="00165027">
              <w:rPr>
                <w:rFonts w:ascii="Arial" w:hAnsi="Arial" w:cs="Arial"/>
                <w:b/>
                <w:noProof/>
                <w:sz w:val="24"/>
                <w:szCs w:val="24"/>
                <w:lang w:val="es-CO" w:eastAsia="es-CO"/>
              </w:rPr>
              <w:pict>
                <v:shape id="_x0000_s1041" type="#_x0000_t202" style="position:absolute;margin-left:392.95pt;margin-top:-.7pt;width:20pt;height:20.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NQIAAF8EAAAOAAAAZHJzL2Uyb0RvYy54bWysVNuOGjEMfa/Uf4jyXgYo0N0Rw2rLlqrS&#10;9iJt+wEmyTBRM3GaBGa2X79OBijdqi9VeYjisXN8fGyzvOlbww7KB4224pPRmDNlBUptdxX/9nXz&#10;6oqzEMFKMGhVxR9V4Derly+WnSvVFBs0UnlGIDaUnat4E6MriyKIRrUQRuiUJWeNvoVIpt8V0kNH&#10;6K0ppuPxoujQS+dRqBDo693g5KuMX9dKxM91HVRkpuLELebT53ObzmK1hHLnwTVaHGnAP7BoQVtK&#10;eoa6gwhs7/UfUK0WHgPWcSSwLbCutVC5BqpmMn5WzUMDTuVaSJzgzjKF/wcrPh2+eKYl9Y7ksdBS&#10;j9Z7kB6ZVCyqPiIjD8nUuVBS9IOj+Ni/xZ6e5JKDu0fxPTCL6wbsTt16j12jQBLNSXpZXDwdcEIC&#10;2XYfUVI62EfMQH3t26QhqcIInfg8nltERJigj9P5bDwmjyDXdDGfvc7cCihPj50P8b3ClqVLxT1N&#10;QAaHw32IiQyUp5CUK6DRcqONyYbfbdfGswPQtGzyL/N/FmYs6yp+PZ/Oh/r/CkFME9kh62+ZWh1p&#10;7I1uK351DoIyqfbOSnoAZQRthjtRNvYoY1Ju0DD22z43bnHqzhblI+nqcZhy2kq6NOh/ctbRhFc8&#10;/NiDV5yZD5Z6cz2ZzdJKZGM2fzMlw196tpcesIKgKh45G67rOKzR3nm9ayjTMA0Wb6mftc5ap8YP&#10;rI70aYpzC44bl9bk0s5Rv/4XVk8AAAD//wMAUEsDBBQABgAIAAAAIQAY0GC63wAAAAkBAAAPAAAA&#10;ZHJzL2Rvd25yZXYueG1sTI9BT8MwDIXvSPyHyEhcEEu3jq0rTSeEBIIbbBNcs8ZrKxqnJFlX/j3e&#10;CU6W/Z6ev1esR9uJAX1oHSmYThIQSJUzLdUKdtun2wxEiJqM7hyhgh8MsC4vLwqdG3eidxw2sRYc&#10;QiHXCpoY+1zKUDVodZi4Hom1g/NWR159LY3XJw63nZwlyUJa3RJ/aHSPjw1WX5ujVZDNX4bP8Jq+&#10;fVSLQ7eKN8vh+dsrdX01PtyDiDjGPzOc8RkdSmbauyOZIDoFy1U6ZysLU55syNLzYa/gLp2BLAv5&#10;v0H5CwAA//8DAFBLAQItABQABgAIAAAAIQC2gziS/gAAAOEBAAATAAAAAAAAAAAAAAAAAAAAAABb&#10;Q29udGVudF9UeXBlc10ueG1sUEsBAi0AFAAGAAgAAAAhADj9If/WAAAAlAEAAAsAAAAAAAAAAAAA&#10;AAAALwEAAF9yZWxzLy5yZWxzUEsBAi0AFAAGAAgAAAAhABEv7VE1AgAAXwQAAA4AAAAAAAAAAAAA&#10;AAAALgIAAGRycy9lMm9Eb2MueG1sUEsBAi0AFAAGAAgAAAAhABjQYLrfAAAACQEAAA8AAAAAAAAA&#10;AAAAAAAAjwQAAGRycy9kb3ducmV2LnhtbFBLBQYAAAAABAAEAPMAAACbBQAAAAA=&#10;">
                  <v:textbox>
                    <w:txbxContent>
                      <w:p w:rsidR="00D272B1" w:rsidRDefault="00D272B1" w:rsidP="00D272B1">
                        <w:r>
                          <w:t>B</w:t>
                        </w:r>
                      </w:p>
                    </w:txbxContent>
                  </v:textbox>
                </v:shape>
              </w:pict>
            </w:r>
            <w:r w:rsidRPr="00165027">
              <w:rPr>
                <w:rFonts w:ascii="Arial" w:hAnsi="Arial" w:cs="Arial"/>
                <w:b/>
                <w:noProof/>
                <w:sz w:val="24"/>
                <w:szCs w:val="24"/>
                <w:lang w:val="es-CO" w:eastAsia="es-CO"/>
              </w:rPr>
              <w:pict>
                <v:shape id="_x0000_s1040" type="#_x0000_t202" style="position:absolute;margin-left:2.2pt;margin-top:3.05pt;width:20pt;height:20.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w:txbxContent>
                      <w:p w:rsidR="00D272B1" w:rsidRDefault="00D272B1" w:rsidP="00D272B1">
                        <w:r>
                          <w:t>A</w:t>
                        </w:r>
                      </w:p>
                    </w:txbxContent>
                  </v:textbox>
                </v:shape>
              </w:pict>
            </w:r>
            <w:r w:rsidR="00D272B1" w:rsidRPr="00D272B1">
              <w:rPr>
                <w:rFonts w:ascii="Arial" w:hAnsi="Arial" w:cs="Arial"/>
                <w:b/>
                <w:noProof/>
                <w:sz w:val="24"/>
                <w:szCs w:val="24"/>
                <w:lang w:eastAsia="es-ES"/>
              </w:rPr>
              <w:drawing>
                <wp:inline distT="0" distB="0" distL="0" distR="0">
                  <wp:extent cx="2590800" cy="2247900"/>
                  <wp:effectExtent l="19050" t="0" r="0" b="0"/>
                  <wp:docPr id="17" name="Imagen 4"/>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590800" cy="22479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D272B1" w:rsidRPr="00D272B1">
              <w:rPr>
                <w:rFonts w:ascii="Arial" w:hAnsi="Arial" w:cs="Arial"/>
                <w:b/>
                <w:noProof/>
                <w:sz w:val="24"/>
                <w:szCs w:val="24"/>
                <w:lang w:eastAsia="es-ES"/>
              </w:rPr>
              <w:drawing>
                <wp:inline distT="0" distB="0" distL="0" distR="0">
                  <wp:extent cx="2638425" cy="2247900"/>
                  <wp:effectExtent l="19050" t="0" r="9525" b="0"/>
                  <wp:docPr id="18" name="Imagen 5"/>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638425" cy="22479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r>
      <w:tr w:rsidR="00D272B1" w:rsidTr="00D272B1">
        <w:tc>
          <w:tcPr>
            <w:tcW w:w="8644" w:type="dxa"/>
          </w:tcPr>
          <w:p w:rsidR="00D272B1" w:rsidRPr="00D272B1" w:rsidRDefault="00D272B1" w:rsidP="00CC1F72">
            <w:pPr>
              <w:autoSpaceDE w:val="0"/>
              <w:autoSpaceDN w:val="0"/>
              <w:adjustRightInd w:val="0"/>
              <w:rPr>
                <w:rFonts w:ascii="Arial" w:hAnsi="Arial" w:cs="Arial"/>
                <w:i/>
                <w:sz w:val="24"/>
                <w:szCs w:val="24"/>
              </w:rPr>
            </w:pPr>
            <w:r>
              <w:rPr>
                <w:rFonts w:ascii="Arial" w:hAnsi="Arial" w:cs="Arial"/>
                <w:b/>
                <w:sz w:val="24"/>
                <w:szCs w:val="24"/>
              </w:rPr>
              <w:t xml:space="preserve">Figura 5: AB </w:t>
            </w:r>
            <w:r w:rsidR="00FB7310">
              <w:rPr>
                <w:rFonts w:ascii="Arial" w:hAnsi="Arial" w:cs="Arial"/>
                <w:sz w:val="24"/>
                <w:szCs w:val="24"/>
              </w:rPr>
              <w:t>T</w:t>
            </w:r>
            <w:r>
              <w:rPr>
                <w:rFonts w:ascii="Arial" w:hAnsi="Arial" w:cs="Arial"/>
                <w:sz w:val="24"/>
                <w:szCs w:val="24"/>
              </w:rPr>
              <w:t>in</w:t>
            </w:r>
            <w:r w:rsidR="00FB7310">
              <w:rPr>
                <w:rFonts w:ascii="Arial" w:hAnsi="Arial" w:cs="Arial"/>
                <w:sz w:val="24"/>
                <w:szCs w:val="24"/>
              </w:rPr>
              <w:t>ción de G</w:t>
            </w:r>
            <w:r w:rsidR="00380A9C">
              <w:rPr>
                <w:rFonts w:ascii="Arial" w:hAnsi="Arial" w:cs="Arial"/>
                <w:sz w:val="24"/>
                <w:szCs w:val="24"/>
              </w:rPr>
              <w:t>ram:</w:t>
            </w:r>
            <w:r w:rsidR="00FB7310">
              <w:rPr>
                <w:rFonts w:ascii="Arial" w:hAnsi="Arial" w:cs="Arial"/>
                <w:sz w:val="24"/>
                <w:szCs w:val="24"/>
              </w:rPr>
              <w:t xml:space="preserve"> positivo para Gram</w:t>
            </w:r>
            <w:r>
              <w:rPr>
                <w:rFonts w:ascii="Arial" w:hAnsi="Arial" w:cs="Arial"/>
                <w:sz w:val="24"/>
                <w:szCs w:val="24"/>
              </w:rPr>
              <w:t xml:space="preserve"> positivos. </w:t>
            </w:r>
            <w:r>
              <w:rPr>
                <w:rFonts w:ascii="Arial" w:hAnsi="Arial" w:cs="Arial"/>
                <w:i/>
                <w:sz w:val="24"/>
                <w:szCs w:val="24"/>
              </w:rPr>
              <w:t>S.aureus.</w:t>
            </w:r>
          </w:p>
        </w:tc>
      </w:tr>
    </w:tbl>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tbl>
      <w:tblPr>
        <w:tblStyle w:val="Tablaconcuadrcula"/>
        <w:tblW w:w="0" w:type="auto"/>
        <w:tblLook w:val="04A0"/>
      </w:tblPr>
      <w:tblGrid>
        <w:gridCol w:w="8644"/>
      </w:tblGrid>
      <w:tr w:rsidR="001C4A41" w:rsidTr="001C4A41">
        <w:tc>
          <w:tcPr>
            <w:tcW w:w="8644" w:type="dxa"/>
          </w:tcPr>
          <w:p w:rsidR="001C4A41" w:rsidRDefault="00165027" w:rsidP="00CC1F72">
            <w:pPr>
              <w:autoSpaceDE w:val="0"/>
              <w:autoSpaceDN w:val="0"/>
              <w:adjustRightInd w:val="0"/>
              <w:rPr>
                <w:rFonts w:ascii="Arial" w:hAnsi="Arial" w:cs="Arial"/>
                <w:b/>
                <w:sz w:val="24"/>
                <w:szCs w:val="24"/>
              </w:rPr>
            </w:pPr>
            <w:r w:rsidRPr="00165027">
              <w:rPr>
                <w:rFonts w:ascii="Arial" w:hAnsi="Arial" w:cs="Arial"/>
                <w:b/>
                <w:noProof/>
                <w:sz w:val="24"/>
                <w:szCs w:val="24"/>
                <w:lang w:val="es-CO" w:eastAsia="es-CO"/>
              </w:rPr>
              <w:pict>
                <v:shape id="_x0000_s1043" type="#_x0000_t202" style="position:absolute;margin-left:377.95pt;margin-top:.75pt;width:20pt;height:20.9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NQIAAF8EAAAOAAAAZHJzL2Uyb0RvYy54bWysVNuOGjEMfa/Uf4jyXgYo0N0Rw2rLlqrS&#10;9iJt+wEmyTBRM3GaBGa2X79OBijdqi9VeYjisXN8fGyzvOlbww7KB4224pPRmDNlBUptdxX/9nXz&#10;6oqzEMFKMGhVxR9V4Derly+WnSvVFBs0UnlGIDaUnat4E6MriyKIRrUQRuiUJWeNvoVIpt8V0kNH&#10;6K0ppuPxoujQS+dRqBDo693g5KuMX9dKxM91HVRkpuLELebT53ObzmK1hHLnwTVaHGnAP7BoQVtK&#10;eoa6gwhs7/UfUK0WHgPWcSSwLbCutVC5BqpmMn5WzUMDTuVaSJzgzjKF/wcrPh2+eKYl9Y7ksdBS&#10;j9Z7kB6ZVCyqPiIjD8nUuVBS9IOj+Ni/xZ6e5JKDu0fxPTCL6wbsTt16j12jQBLNSXpZXDwdcEIC&#10;2XYfUVI62EfMQH3t26QhqcIInfg8nltERJigj9P5bDwmjyDXdDGfvc7cCihPj50P8b3ClqVLxT1N&#10;QAaHw32IiQyUp5CUK6DRcqONyYbfbdfGswPQtGzyL/N/FmYs6yp+PZ/Oh/r/CkFME9kh62+ZWh1p&#10;7I1uK351DoIyqfbOSnoAZQRthjtRNvYoY1Ju0DD22z43bnHqzhblI+nqcZhy2kq6NOh/ctbRhFc8&#10;/NiDV5yZD5Z6cz2ZzdJKZGM2fzMlw196tpcesIKgKh45G67rOKzR3nm9ayjTMA0Wb6mftc5ap8YP&#10;rI70aYpzC44bl9bk0s5Rv/4XVk8AAAD//wMAUEsDBBQABgAIAAAAIQAY0GC63wAAAAkBAAAPAAAA&#10;ZHJzL2Rvd25yZXYueG1sTI9BT8MwDIXvSPyHyEhcEEu3jq0rTSeEBIIbbBNcs8ZrKxqnJFlX/j3e&#10;CU6W/Z6ev1esR9uJAX1oHSmYThIQSJUzLdUKdtun2wxEiJqM7hyhgh8MsC4vLwqdG3eidxw2sRYc&#10;QiHXCpoY+1zKUDVodZi4Hom1g/NWR159LY3XJw63nZwlyUJa3RJ/aHSPjw1WX5ujVZDNX4bP8Jq+&#10;fVSLQ7eKN8vh+dsrdX01PtyDiDjGPzOc8RkdSmbauyOZIDoFy1U6ZysLU55syNLzYa/gLp2BLAv5&#10;v0H5CwAA//8DAFBLAQItABQABgAIAAAAIQC2gziS/gAAAOEBAAATAAAAAAAAAAAAAAAAAAAAAABb&#10;Q29udGVudF9UeXBlc10ueG1sUEsBAi0AFAAGAAgAAAAhADj9If/WAAAAlAEAAAsAAAAAAAAAAAAA&#10;AAAALwEAAF9yZWxzLy5yZWxzUEsBAi0AFAAGAAgAAAAhABEv7VE1AgAAXwQAAA4AAAAAAAAAAAAA&#10;AAAALgIAAGRycy9lMm9Eb2MueG1sUEsBAi0AFAAGAAgAAAAhABjQYLrfAAAACQEAAA8AAAAAAAAA&#10;AAAAAAAAjwQAAGRycy9kb3ducmV2LnhtbFBLBQYAAAAABAAEAPMAAACbBQAAAAA=&#10;">
                  <v:textbox style="mso-next-textbox:#_x0000_s1043">
                    <w:txbxContent>
                      <w:p w:rsidR="001C4A41" w:rsidRDefault="001C4A41" w:rsidP="001C4A41">
                        <w:r>
                          <w:t>B</w:t>
                        </w:r>
                      </w:p>
                    </w:txbxContent>
                  </v:textbox>
                </v:shape>
              </w:pict>
            </w:r>
            <w:r w:rsidRPr="00165027">
              <w:rPr>
                <w:rFonts w:ascii="Arial" w:hAnsi="Arial" w:cs="Arial"/>
                <w:b/>
                <w:noProof/>
                <w:sz w:val="24"/>
                <w:szCs w:val="24"/>
                <w:lang w:val="es-CO" w:eastAsia="es-CO"/>
              </w:rPr>
              <w:pict>
                <v:shape id="_x0000_s1042" type="#_x0000_t202" style="position:absolute;margin-left:2.2pt;margin-top:1.5pt;width:20pt;height:20.9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style="mso-next-textbox:#_x0000_s1042">
                    <w:txbxContent>
                      <w:p w:rsidR="001C4A41" w:rsidRDefault="001C4A41" w:rsidP="001C4A41">
                        <w:r>
                          <w:t>A</w:t>
                        </w:r>
                      </w:p>
                    </w:txbxContent>
                  </v:textbox>
                </v:shape>
              </w:pict>
            </w:r>
            <w:r w:rsidR="001C4A41" w:rsidRPr="001C4A41">
              <w:rPr>
                <w:rFonts w:ascii="Arial" w:hAnsi="Arial" w:cs="Arial"/>
                <w:b/>
                <w:noProof/>
                <w:sz w:val="24"/>
                <w:szCs w:val="24"/>
                <w:lang w:eastAsia="es-ES"/>
              </w:rPr>
              <w:drawing>
                <wp:inline distT="0" distB="0" distL="0" distR="0">
                  <wp:extent cx="2590800" cy="1733550"/>
                  <wp:effectExtent l="19050" t="0" r="0" b="0"/>
                  <wp:docPr id="19" name="Imagen 6"/>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591179" cy="173380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1C4A41" w:rsidRPr="001C4A41">
              <w:rPr>
                <w:rFonts w:ascii="Arial" w:hAnsi="Arial" w:cs="Arial"/>
                <w:b/>
                <w:noProof/>
                <w:sz w:val="24"/>
                <w:szCs w:val="24"/>
                <w:lang w:eastAsia="es-ES"/>
              </w:rPr>
              <w:drawing>
                <wp:inline distT="0" distB="0" distL="0" distR="0">
                  <wp:extent cx="2447925" cy="1733550"/>
                  <wp:effectExtent l="19050" t="0" r="9525" b="0"/>
                  <wp:docPr id="20" name="Imagen 7"/>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447925" cy="173355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r>
      <w:tr w:rsidR="001C4A41" w:rsidTr="001C4A41">
        <w:tc>
          <w:tcPr>
            <w:tcW w:w="8644" w:type="dxa"/>
          </w:tcPr>
          <w:p w:rsidR="001C4A41" w:rsidRPr="001C4A41" w:rsidRDefault="001C4A41" w:rsidP="001C4A41">
            <w:pPr>
              <w:autoSpaceDE w:val="0"/>
              <w:autoSpaceDN w:val="0"/>
              <w:adjustRightInd w:val="0"/>
              <w:rPr>
                <w:rFonts w:ascii="Arial" w:hAnsi="Arial" w:cs="Arial"/>
                <w:sz w:val="24"/>
                <w:szCs w:val="24"/>
              </w:rPr>
            </w:pPr>
            <w:r>
              <w:rPr>
                <w:rFonts w:ascii="Arial" w:hAnsi="Arial" w:cs="Arial"/>
                <w:b/>
                <w:sz w:val="24"/>
                <w:szCs w:val="24"/>
              </w:rPr>
              <w:t>Figura 6:</w:t>
            </w:r>
            <w:r w:rsidR="00380A9C">
              <w:rPr>
                <w:rFonts w:ascii="Arial" w:hAnsi="Arial" w:cs="Arial"/>
                <w:b/>
                <w:sz w:val="24"/>
                <w:szCs w:val="24"/>
              </w:rPr>
              <w:t xml:space="preserve"> </w:t>
            </w:r>
            <w:r>
              <w:rPr>
                <w:rFonts w:ascii="Arial" w:hAnsi="Arial" w:cs="Arial"/>
                <w:b/>
                <w:sz w:val="24"/>
                <w:szCs w:val="24"/>
              </w:rPr>
              <w:t xml:space="preserve">AB. </w:t>
            </w:r>
            <w:r>
              <w:rPr>
                <w:rFonts w:ascii="Arial" w:hAnsi="Arial" w:cs="Arial"/>
                <w:sz w:val="24"/>
                <w:szCs w:val="24"/>
              </w:rPr>
              <w:t>Tinción de PAS</w:t>
            </w:r>
            <w:r w:rsidR="00380A9C">
              <w:rPr>
                <w:rFonts w:ascii="Arial" w:hAnsi="Arial" w:cs="Arial"/>
                <w:sz w:val="24"/>
                <w:szCs w:val="24"/>
              </w:rPr>
              <w:t xml:space="preserve"> (</w:t>
            </w:r>
            <w:r w:rsidR="00380A9C" w:rsidRPr="00380A9C">
              <w:rPr>
                <w:rFonts w:ascii="Arial" w:hAnsi="Arial" w:cs="Arial"/>
                <w:sz w:val="24"/>
                <w:szCs w:val="24"/>
              </w:rPr>
              <w:t xml:space="preserve">ácido periódico Schiff </w:t>
            </w:r>
            <w:r w:rsidR="00380A9C">
              <w:rPr>
                <w:rFonts w:ascii="Arial" w:hAnsi="Arial" w:cs="Arial"/>
                <w:sz w:val="24"/>
                <w:szCs w:val="24"/>
              </w:rPr>
              <w:t>):</w:t>
            </w:r>
            <w:r>
              <w:rPr>
                <w:rFonts w:ascii="Arial" w:hAnsi="Arial" w:cs="Arial"/>
                <w:sz w:val="24"/>
                <w:szCs w:val="24"/>
              </w:rPr>
              <w:t xml:space="preserve"> estructuras cocoides y difteroides</w:t>
            </w:r>
            <w:r w:rsidR="00380A9C">
              <w:rPr>
                <w:rFonts w:ascii="Arial" w:hAnsi="Arial" w:cs="Arial"/>
                <w:sz w:val="24"/>
                <w:szCs w:val="24"/>
              </w:rPr>
              <w:t>.</w:t>
            </w:r>
          </w:p>
        </w:tc>
      </w:tr>
    </w:tbl>
    <w:p w:rsidR="00CC1F72" w:rsidRDefault="00CC1F72"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1C4A41" w:rsidRDefault="001C4A41" w:rsidP="00CC1F72">
      <w:pPr>
        <w:autoSpaceDE w:val="0"/>
        <w:autoSpaceDN w:val="0"/>
        <w:adjustRightInd w:val="0"/>
        <w:spacing w:after="0" w:line="240" w:lineRule="auto"/>
        <w:rPr>
          <w:rFonts w:ascii="Arial" w:hAnsi="Arial" w:cs="Arial"/>
          <w:b/>
          <w:sz w:val="24"/>
          <w:szCs w:val="24"/>
        </w:rPr>
      </w:pPr>
    </w:p>
    <w:p w:rsidR="0086553C" w:rsidRDefault="0086553C" w:rsidP="00CC1F72">
      <w:pPr>
        <w:autoSpaceDE w:val="0"/>
        <w:autoSpaceDN w:val="0"/>
        <w:adjustRightInd w:val="0"/>
        <w:spacing w:after="0" w:line="240" w:lineRule="auto"/>
        <w:rPr>
          <w:rFonts w:ascii="Arial" w:hAnsi="Arial" w:cs="Arial"/>
          <w:b/>
          <w:sz w:val="24"/>
          <w:szCs w:val="24"/>
        </w:rPr>
      </w:pPr>
    </w:p>
    <w:p w:rsidR="00CC1F72" w:rsidRPr="0086553C" w:rsidRDefault="0086553C" w:rsidP="0086553C">
      <w:pPr>
        <w:tabs>
          <w:tab w:val="left" w:pos="2820"/>
        </w:tabs>
        <w:rPr>
          <w:rFonts w:ascii="Arial" w:hAnsi="Arial" w:cs="Arial"/>
          <w:sz w:val="24"/>
          <w:szCs w:val="24"/>
        </w:rPr>
      </w:pPr>
      <w:r>
        <w:rPr>
          <w:rFonts w:ascii="Arial" w:hAnsi="Arial" w:cs="Arial"/>
          <w:sz w:val="24"/>
          <w:szCs w:val="24"/>
        </w:rPr>
        <w:tab/>
      </w:r>
    </w:p>
    <w:p w:rsidR="00CC1F72" w:rsidRDefault="00CC1F72" w:rsidP="00CC1F72">
      <w:pPr>
        <w:autoSpaceDE w:val="0"/>
        <w:autoSpaceDN w:val="0"/>
        <w:adjustRightInd w:val="0"/>
        <w:spacing w:after="0" w:line="240" w:lineRule="auto"/>
        <w:rPr>
          <w:rFonts w:ascii="Arial" w:hAnsi="Arial" w:cs="Arial"/>
          <w:b/>
          <w:sz w:val="24"/>
          <w:szCs w:val="24"/>
        </w:rPr>
      </w:pPr>
    </w:p>
    <w:p w:rsidR="0086553C" w:rsidRPr="0086553C" w:rsidRDefault="0086553C" w:rsidP="00CC1F72">
      <w:pPr>
        <w:autoSpaceDE w:val="0"/>
        <w:autoSpaceDN w:val="0"/>
        <w:adjustRightInd w:val="0"/>
        <w:spacing w:after="0" w:line="240" w:lineRule="auto"/>
        <w:rPr>
          <w:rFonts w:ascii="Arial" w:hAnsi="Arial" w:cs="Arial"/>
          <w:b/>
          <w:sz w:val="24"/>
          <w:szCs w:val="24"/>
          <w:lang w:val="es-CO"/>
        </w:rPr>
      </w:pPr>
    </w:p>
    <w:tbl>
      <w:tblPr>
        <w:tblStyle w:val="Tablaconcuadrcula"/>
        <w:tblW w:w="0" w:type="auto"/>
        <w:tblLook w:val="04A0"/>
      </w:tblPr>
      <w:tblGrid>
        <w:gridCol w:w="8644"/>
      </w:tblGrid>
      <w:tr w:rsidR="0086553C" w:rsidTr="0086553C">
        <w:tc>
          <w:tcPr>
            <w:tcW w:w="8644" w:type="dxa"/>
          </w:tcPr>
          <w:p w:rsidR="0086553C" w:rsidRDefault="00165027" w:rsidP="0086553C">
            <w:pPr>
              <w:autoSpaceDE w:val="0"/>
              <w:autoSpaceDN w:val="0"/>
              <w:adjustRightInd w:val="0"/>
              <w:jc w:val="center"/>
              <w:rPr>
                <w:rFonts w:ascii="Arial" w:hAnsi="Arial" w:cs="Arial"/>
                <w:b/>
                <w:sz w:val="24"/>
                <w:szCs w:val="24"/>
              </w:rPr>
            </w:pPr>
            <w:r w:rsidRPr="00165027">
              <w:rPr>
                <w:rFonts w:ascii="Arial" w:hAnsi="Arial" w:cs="Arial"/>
                <w:b/>
                <w:noProof/>
                <w:sz w:val="24"/>
                <w:szCs w:val="24"/>
                <w:lang w:val="es-CO" w:eastAsia="es-CO"/>
              </w:rPr>
              <w:lastRenderedPageBreak/>
              <w:pict>
                <v:shape id="_x0000_s1049" type="#_x0000_t202" style="position:absolute;left:0;text-align:left;margin-left:372.95pt;margin-top:.5pt;width:20pt;height:20.9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style="mso-next-textbox:#_x0000_s1049">
                    <w:txbxContent>
                      <w:p w:rsidR="0086553C" w:rsidRPr="0086553C" w:rsidRDefault="0086553C" w:rsidP="0086553C">
                        <w:pPr>
                          <w:rPr>
                            <w:lang w:val="es-CO"/>
                          </w:rPr>
                        </w:pPr>
                        <w:r>
                          <w:rPr>
                            <w:lang w:val="es-CO"/>
                          </w:rPr>
                          <w:t>B</w:t>
                        </w:r>
                      </w:p>
                    </w:txbxContent>
                  </v:textbox>
                </v:shape>
              </w:pict>
            </w:r>
            <w:r w:rsidRPr="00165027">
              <w:rPr>
                <w:rFonts w:ascii="Arial" w:hAnsi="Arial" w:cs="Arial"/>
                <w:b/>
                <w:noProof/>
                <w:sz w:val="24"/>
                <w:szCs w:val="24"/>
                <w:lang w:val="es-CO" w:eastAsia="es-CO"/>
              </w:rPr>
              <w:pict>
                <v:shape id="_x0000_s1047" type="#_x0000_t202" style="position:absolute;left:0;text-align:left;margin-left:28.45pt;margin-top:2pt;width:20pt;height:20.9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style="mso-next-textbox:#_x0000_s1047">
                    <w:txbxContent>
                      <w:p w:rsidR="0086553C" w:rsidRDefault="0086553C" w:rsidP="0086553C">
                        <w:r>
                          <w:t>A</w:t>
                        </w:r>
                      </w:p>
                    </w:txbxContent>
                  </v:textbox>
                </v:shape>
              </w:pict>
            </w:r>
            <w:r w:rsidRPr="00165027">
              <w:rPr>
                <w:rFonts w:ascii="Arial" w:hAnsi="Arial" w:cs="Arial"/>
                <w:b/>
                <w:noProof/>
                <w:sz w:val="24"/>
                <w:szCs w:val="24"/>
                <w:lang w:val="es-CO" w:eastAsia="es-CO"/>
              </w:rPr>
              <w:pict>
                <v:shape id="_x0000_s1048" type="#_x0000_t202" style="position:absolute;left:0;text-align:left;margin-left:251.2pt;margin-top:238.4pt;width:20pt;height:20.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VNAIAAF0EAAAOAAAAZHJzL2Uyb0RvYy54bWysVNuO0zAQfUfiHyy/07SlXbZR09XSpQhp&#10;uUgLHzC1ncbC8RjbbbJ8/Y6dtpRFvCD6YNmZ8Zkz54y7vOlbww7KB4224pPRmDNlBUptdxX/9nXz&#10;6pqzEMFKMGhVxR9V4Derly+WnSvVFBs0UnlGIDaUnat4E6MriyKIRrUQRuiUpWCNvoVIR78rpIeO&#10;0FtTTMfjq6JDL51HoUKgr3dDkK8yfl0rET/XdVCRmYoTt5hXn9dtWovVEsqdB9docaQB/8CiBW2p&#10;6BnqDiKwvdd/QLVaeAxYx5HAtsC61kLlHqibyfhZNw8NOJV7IXGCO8sU/h+s+HT44pmWFV9wZqEl&#10;i9Z7kB6ZVCyqPiJbJJE6F0rKfXCUHfu32JPZueHg7lF8D8ziugG7U7feY9cokERykm4WF1cHnJBA&#10;tt1HlFQN9hEzUF/7NilImjBCJ7MezwYRDybo43Q+G48pIig0vZrPXmcDCyhPl50P8b3ClqVNxT35&#10;n8HhcB9iIgPlKSXVCmi03Ghj8sHvtmvj2QFoVjb5l/k/SzOWdaTWfDof+v8rBDFNZIeqv1VqdaSh&#10;N7qt+PU5Ccqk2jsr6QKUEbQZ9kTZ2KOMSblBw9hv+2zb/OTOFuUj6epxmHF6k7Rp0P/krKP5rnj4&#10;sQevODMfLHmzmMxm6UHkw2z+ZkoHfxnZXkbACoKqeORs2K7j8Ij2zutdQ5WGabB4S37WOmudjB9Y&#10;HenTDGcLju8tPZLLc8769a+wegIAAP//AwBQSwMEFAAGAAgAAAAhAIqTRGnaAAAABQEAAA8AAABk&#10;cnMvZG93bnJldi54bWxMjs1OwzAQhO9IvIO1SFxQ69CW/oQ4FUIC0Ru0CK5uvE0i7HWw3TS8PdsT&#10;nEajGc18xXpwVvQYYutJwe04A4FUedNSreB99zRagohJk9HWEyr4wQjr8vKi0LnxJ3rDfptqwSMU&#10;c62gSanLpYxVg07Hse+QODv44HRiG2ppgj7xuLNykmVz6XRL/NDoDh8brL62R6dgOXvpP+Nm+vpR&#10;zQ92lW4W/fN3UOr6ani4B5FwSH9lOOMzOpTMtPdHMlFYBZMVFxVMWTidne2e9W4Bsizkf/ryFwAA&#10;//8DAFBLAQItABQABgAIAAAAIQC2gziS/gAAAOEBAAATAAAAAAAAAAAAAAAAAAAAAABbQ29udGVu&#10;dF9UeXBlc10ueG1sUEsBAi0AFAAGAAgAAAAhADj9If/WAAAAlAEAAAsAAAAAAAAAAAAAAAAALwEA&#10;AF9yZWxzLy5yZWxzUEsBAi0AFAAGAAgAAAAhAA9FABU0AgAAXQQAAA4AAAAAAAAAAAAAAAAALgIA&#10;AGRycy9lMm9Eb2MueG1sUEsBAi0AFAAGAAgAAAAhAIqTRGnaAAAABQEAAA8AAAAAAAAAAAAAAAAA&#10;jgQAAGRycy9kb3ducmV2LnhtbFBLBQYAAAAABAAEAPMAAACVBQAAAAA=&#10;">
                  <v:textbox style="mso-next-textbox:#_x0000_s1048">
                    <w:txbxContent>
                      <w:p w:rsidR="0086553C" w:rsidRPr="0086553C" w:rsidRDefault="0086553C" w:rsidP="0086553C">
                        <w:pPr>
                          <w:rPr>
                            <w:lang w:val="es-CO"/>
                          </w:rPr>
                        </w:pPr>
                        <w:r>
                          <w:rPr>
                            <w:lang w:val="es-CO"/>
                          </w:rPr>
                          <w:t>C</w:t>
                        </w:r>
                      </w:p>
                    </w:txbxContent>
                  </v:textbox>
                </v:shape>
              </w:pict>
            </w:r>
            <w:r w:rsidR="0086553C" w:rsidRPr="0086553C">
              <w:rPr>
                <w:rFonts w:ascii="Arial" w:hAnsi="Arial" w:cs="Arial"/>
                <w:b/>
                <w:noProof/>
                <w:sz w:val="24"/>
                <w:szCs w:val="24"/>
                <w:lang w:eastAsia="es-ES"/>
              </w:rPr>
              <w:drawing>
                <wp:inline distT="0" distB="0" distL="0" distR="0">
                  <wp:extent cx="2133600" cy="3048000"/>
                  <wp:effectExtent l="19050" t="0" r="0" b="0"/>
                  <wp:docPr id="35" name="Imagen 18"/>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rotWithShape="1">
                          <a:blip r:embed="rId23"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30">
                                    <a14:imgEffect>
                                      <a14:sharpenSoften amount="50000"/>
                                    </a14:imgEffect>
                                    <a14:imgEffect>
                                      <a14:brightnessContrast contrast="-2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3738"/>
                          <a:stretch/>
                        </pic:blipFill>
                        <pic:spPr bwMode="auto">
                          <a:xfrm>
                            <a:off x="0" y="0"/>
                            <a:ext cx="2134639" cy="304948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BE0E38">
              <w:rPr>
                <w:rFonts w:ascii="Arial" w:hAnsi="Arial" w:cs="Arial"/>
                <w:b/>
                <w:sz w:val="24"/>
                <w:szCs w:val="24"/>
              </w:rPr>
              <w:t xml:space="preserve">              </w:t>
            </w:r>
            <w:r w:rsidR="0086553C" w:rsidRPr="0086553C">
              <w:rPr>
                <w:rFonts w:ascii="Arial" w:hAnsi="Arial" w:cs="Arial"/>
                <w:b/>
                <w:noProof/>
                <w:sz w:val="24"/>
                <w:szCs w:val="24"/>
                <w:lang w:eastAsia="es-ES"/>
              </w:rPr>
              <w:drawing>
                <wp:inline distT="0" distB="0" distL="0" distR="0">
                  <wp:extent cx="1895475" cy="3048000"/>
                  <wp:effectExtent l="19050" t="0" r="9525" b="0"/>
                  <wp:docPr id="36" name="Imagen 19"/>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31"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32">
                                    <a14:imgEffect>
                                      <a14:sharpenSoften amount="50000"/>
                                    </a14:imgEffect>
                                    <a14:imgEffect>
                                      <a14:brightnessContrast contrast="-2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895475" cy="304800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r w:rsidR="0086553C" w:rsidRPr="0086553C">
              <w:rPr>
                <w:rFonts w:ascii="Arial" w:hAnsi="Arial" w:cs="Arial"/>
                <w:b/>
                <w:noProof/>
                <w:sz w:val="24"/>
                <w:szCs w:val="24"/>
                <w:lang w:eastAsia="es-ES"/>
              </w:rPr>
              <w:drawing>
                <wp:inline distT="0" distB="0" distL="0" distR="0">
                  <wp:extent cx="1504950" cy="2562225"/>
                  <wp:effectExtent l="19050" t="0" r="0" b="0"/>
                  <wp:docPr id="37" name="Imagen 20"/>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rotWithShape="1">
                          <a:blip r:embed="rId33" cstate="print">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34">
                                    <a14:imgEffect>
                                      <a14:sharpenSoften amount="50000"/>
                                    </a14:imgEffect>
                                    <a14:imgEffect>
                                      <a14:brightnessContrast contrast="-2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2690" b="1941"/>
                          <a:stretch/>
                        </pic:blipFill>
                        <pic:spPr bwMode="auto">
                          <a:xfrm>
                            <a:off x="0" y="0"/>
                            <a:ext cx="1504010" cy="256062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tc>
      </w:tr>
      <w:tr w:rsidR="0086553C" w:rsidTr="0086553C">
        <w:tc>
          <w:tcPr>
            <w:tcW w:w="8644" w:type="dxa"/>
          </w:tcPr>
          <w:p w:rsidR="0086553C" w:rsidRDefault="0086553C" w:rsidP="00BE0E38">
            <w:pPr>
              <w:autoSpaceDE w:val="0"/>
              <w:autoSpaceDN w:val="0"/>
              <w:adjustRightInd w:val="0"/>
              <w:rPr>
                <w:rFonts w:ascii="Arial" w:hAnsi="Arial" w:cs="Arial"/>
                <w:b/>
                <w:sz w:val="24"/>
                <w:szCs w:val="24"/>
              </w:rPr>
            </w:pPr>
            <w:r>
              <w:rPr>
                <w:rFonts w:ascii="Arial" w:hAnsi="Arial" w:cs="Arial"/>
                <w:b/>
                <w:sz w:val="24"/>
                <w:szCs w:val="24"/>
              </w:rPr>
              <w:t>Figura 7: ABC</w:t>
            </w:r>
            <w:r w:rsidR="00BE0E38">
              <w:rPr>
                <w:rFonts w:ascii="Arial" w:hAnsi="Arial" w:cs="Arial"/>
                <w:b/>
                <w:sz w:val="24"/>
                <w:szCs w:val="24"/>
              </w:rPr>
              <w:t xml:space="preserve"> </w:t>
            </w:r>
            <w:r w:rsidR="00BE0E38">
              <w:rPr>
                <w:rFonts w:ascii="Arial" w:hAnsi="Arial" w:cs="Arial"/>
              </w:rPr>
              <w:t xml:space="preserve">Maculas y pápulas eritemato-descamativas con bordes irregulares. </w:t>
            </w:r>
          </w:p>
        </w:tc>
      </w:tr>
    </w:tbl>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CC1F72" w:rsidRDefault="00CC1F72" w:rsidP="00CC1F72">
      <w:pPr>
        <w:autoSpaceDE w:val="0"/>
        <w:autoSpaceDN w:val="0"/>
        <w:adjustRightInd w:val="0"/>
        <w:spacing w:after="0" w:line="240" w:lineRule="auto"/>
        <w:rPr>
          <w:rFonts w:ascii="Arial" w:hAnsi="Arial" w:cs="Arial"/>
          <w:b/>
          <w:sz w:val="24"/>
          <w:szCs w:val="24"/>
        </w:rPr>
      </w:pPr>
    </w:p>
    <w:p w:rsidR="004F16B2" w:rsidRDefault="004F16B2"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86553C" w:rsidRDefault="0086553C" w:rsidP="00CC1F72">
      <w:pPr>
        <w:autoSpaceDE w:val="0"/>
        <w:autoSpaceDN w:val="0"/>
        <w:adjustRightInd w:val="0"/>
        <w:spacing w:after="0" w:line="240" w:lineRule="auto"/>
        <w:rPr>
          <w:rFonts w:ascii="Arial" w:hAnsi="Arial" w:cs="Arial"/>
          <w:b/>
          <w:sz w:val="26"/>
          <w:szCs w:val="26"/>
        </w:rPr>
      </w:pPr>
    </w:p>
    <w:p w:rsidR="004F16B2" w:rsidRDefault="004F16B2" w:rsidP="00CC1F72">
      <w:pPr>
        <w:autoSpaceDE w:val="0"/>
        <w:autoSpaceDN w:val="0"/>
        <w:adjustRightInd w:val="0"/>
        <w:spacing w:after="0" w:line="240" w:lineRule="auto"/>
        <w:rPr>
          <w:rFonts w:ascii="Arial" w:hAnsi="Arial" w:cs="Arial"/>
          <w:b/>
          <w:sz w:val="26"/>
          <w:szCs w:val="26"/>
        </w:rPr>
      </w:pPr>
    </w:p>
    <w:p w:rsidR="00CC1F72" w:rsidRPr="00AF63D6" w:rsidRDefault="00CC1F72" w:rsidP="00CC1F72">
      <w:pPr>
        <w:autoSpaceDE w:val="0"/>
        <w:autoSpaceDN w:val="0"/>
        <w:adjustRightInd w:val="0"/>
        <w:spacing w:after="0" w:line="240" w:lineRule="auto"/>
        <w:rPr>
          <w:rFonts w:ascii="Arial" w:hAnsi="Arial" w:cs="Arial"/>
          <w:b/>
          <w:sz w:val="24"/>
          <w:szCs w:val="24"/>
        </w:rPr>
      </w:pPr>
      <w:r w:rsidRPr="00AF63D6">
        <w:rPr>
          <w:rFonts w:ascii="Arial" w:hAnsi="Arial" w:cs="Arial"/>
          <w:b/>
          <w:sz w:val="24"/>
          <w:szCs w:val="24"/>
        </w:rPr>
        <w:lastRenderedPageBreak/>
        <w:t>DISCUSION Y CONCLUSIONES.</w:t>
      </w:r>
    </w:p>
    <w:p w:rsidR="00CC1F72" w:rsidRPr="00AF63D6" w:rsidRDefault="00CC1F72" w:rsidP="00CC1F72">
      <w:pPr>
        <w:autoSpaceDE w:val="0"/>
        <w:autoSpaceDN w:val="0"/>
        <w:adjustRightInd w:val="0"/>
        <w:spacing w:after="0" w:line="240" w:lineRule="auto"/>
        <w:rPr>
          <w:rFonts w:ascii="Arial" w:hAnsi="Arial" w:cs="Arial"/>
          <w:b/>
          <w:sz w:val="24"/>
          <w:szCs w:val="24"/>
        </w:rPr>
      </w:pPr>
    </w:p>
    <w:p w:rsidR="00CC1F72" w:rsidRPr="00AF63D6" w:rsidRDefault="00CC1F72" w:rsidP="00CC1F72">
      <w:pPr>
        <w:autoSpaceDE w:val="0"/>
        <w:autoSpaceDN w:val="0"/>
        <w:adjustRightInd w:val="0"/>
        <w:spacing w:before="240"/>
        <w:jc w:val="both"/>
        <w:rPr>
          <w:rFonts w:ascii="Arial" w:hAnsi="Arial" w:cs="Arial"/>
          <w:color w:val="000000"/>
          <w:sz w:val="24"/>
          <w:szCs w:val="24"/>
        </w:rPr>
      </w:pPr>
      <w:r w:rsidRPr="00AF63D6">
        <w:rPr>
          <w:rFonts w:ascii="Arial" w:hAnsi="Arial" w:cs="Arial"/>
          <w:sz w:val="24"/>
          <w:szCs w:val="24"/>
        </w:rPr>
        <w:t>El EG es una enfermedad dermatológica infecciosa clásicamente descrita</w:t>
      </w:r>
      <w:r w:rsidR="00BE0E38" w:rsidRPr="00AF63D6">
        <w:rPr>
          <w:rFonts w:ascii="Arial" w:hAnsi="Arial" w:cs="Arial"/>
          <w:sz w:val="24"/>
          <w:szCs w:val="24"/>
        </w:rPr>
        <w:t>,</w:t>
      </w:r>
      <w:r w:rsidRPr="00AF63D6">
        <w:rPr>
          <w:rFonts w:ascii="Arial" w:hAnsi="Arial" w:cs="Arial"/>
          <w:sz w:val="24"/>
          <w:szCs w:val="24"/>
        </w:rPr>
        <w:t xml:space="preserve">  ocasionada por </w:t>
      </w:r>
      <w:r w:rsidRPr="00AF63D6">
        <w:rPr>
          <w:rFonts w:ascii="Arial" w:hAnsi="Arial" w:cs="Arial"/>
          <w:i/>
          <w:sz w:val="24"/>
          <w:szCs w:val="24"/>
        </w:rPr>
        <w:t>P. aeruginosa</w:t>
      </w:r>
      <w:r w:rsidRPr="00AF63D6">
        <w:rPr>
          <w:rFonts w:ascii="Arial" w:hAnsi="Arial" w:cs="Arial"/>
          <w:sz w:val="24"/>
          <w:szCs w:val="24"/>
        </w:rPr>
        <w:t xml:space="preserve">, aunque también puede ser causada por una serie de agentes patógenos como: </w:t>
      </w:r>
      <w:r w:rsidRPr="00AF63D6">
        <w:rPr>
          <w:rFonts w:ascii="Arial" w:hAnsi="Arial" w:cs="Arial"/>
          <w:i/>
          <w:iCs/>
          <w:color w:val="000000"/>
          <w:sz w:val="24"/>
          <w:szCs w:val="24"/>
        </w:rPr>
        <w:t>Aeromonas, hydrophila, S. aureus, Serratia marcescens, Escherichia coli, Klebsiella pneumoniae, Neisseria meningitidis, Vibrio vulnificus</w:t>
      </w:r>
      <w:r w:rsidR="00BE0E38" w:rsidRPr="00AF63D6">
        <w:rPr>
          <w:rStyle w:val="A6"/>
          <w:rFonts w:ascii="Arial" w:hAnsi="Arial" w:cs="Arial"/>
          <w:i/>
          <w:sz w:val="24"/>
          <w:szCs w:val="24"/>
        </w:rPr>
        <w:t>,</w:t>
      </w:r>
      <w:r w:rsidRPr="00AF63D6">
        <w:rPr>
          <w:rFonts w:ascii="Arial" w:hAnsi="Arial" w:cs="Arial"/>
          <w:i/>
          <w:color w:val="000000"/>
          <w:sz w:val="24"/>
          <w:szCs w:val="24"/>
        </w:rPr>
        <w:t xml:space="preserve"> </w:t>
      </w:r>
      <w:r w:rsidRPr="00AF63D6">
        <w:rPr>
          <w:rFonts w:ascii="Arial" w:hAnsi="Arial" w:cs="Arial"/>
          <w:i/>
          <w:iCs/>
          <w:color w:val="000000"/>
          <w:sz w:val="24"/>
          <w:szCs w:val="24"/>
        </w:rPr>
        <w:t>Burkholderia cepacia</w:t>
      </w:r>
      <w:r w:rsidRPr="00AF63D6">
        <w:rPr>
          <w:rFonts w:ascii="Arial" w:hAnsi="Arial" w:cs="Arial"/>
          <w:iCs/>
          <w:color w:val="000000"/>
          <w:sz w:val="24"/>
          <w:szCs w:val="24"/>
        </w:rPr>
        <w:t xml:space="preserve">; </w:t>
      </w:r>
      <w:r w:rsidRPr="00AF63D6">
        <w:rPr>
          <w:rFonts w:ascii="Arial" w:hAnsi="Arial" w:cs="Arial"/>
          <w:color w:val="000000"/>
          <w:sz w:val="24"/>
          <w:szCs w:val="24"/>
        </w:rPr>
        <w:t xml:space="preserve">y por hongos como: </w:t>
      </w:r>
      <w:r w:rsidRPr="00AF63D6">
        <w:rPr>
          <w:rFonts w:ascii="Arial" w:hAnsi="Arial" w:cs="Arial"/>
          <w:iCs/>
          <w:color w:val="000000"/>
          <w:sz w:val="24"/>
          <w:szCs w:val="24"/>
        </w:rPr>
        <w:t xml:space="preserve">Fusarium </w:t>
      </w:r>
      <w:r w:rsidRPr="00AF63D6">
        <w:rPr>
          <w:rFonts w:ascii="Arial" w:hAnsi="Arial" w:cs="Arial"/>
          <w:color w:val="000000"/>
          <w:sz w:val="24"/>
          <w:szCs w:val="24"/>
        </w:rPr>
        <w:t xml:space="preserve">sp, </w:t>
      </w:r>
      <w:r w:rsidRPr="00AF63D6">
        <w:rPr>
          <w:rFonts w:ascii="Arial" w:hAnsi="Arial" w:cs="Arial"/>
          <w:iCs/>
          <w:color w:val="000000"/>
          <w:sz w:val="24"/>
          <w:szCs w:val="24"/>
        </w:rPr>
        <w:t xml:space="preserve">Candida </w:t>
      </w:r>
      <w:r w:rsidRPr="00AF63D6">
        <w:rPr>
          <w:rFonts w:ascii="Arial" w:hAnsi="Arial" w:cs="Arial"/>
          <w:color w:val="000000"/>
          <w:sz w:val="24"/>
          <w:szCs w:val="24"/>
        </w:rPr>
        <w:t xml:space="preserve">sp, </w:t>
      </w:r>
      <w:r w:rsidRPr="00AF63D6">
        <w:rPr>
          <w:rFonts w:ascii="Arial" w:hAnsi="Arial" w:cs="Arial"/>
          <w:iCs/>
          <w:color w:val="000000"/>
          <w:sz w:val="24"/>
          <w:szCs w:val="24"/>
        </w:rPr>
        <w:t xml:space="preserve">Mucor </w:t>
      </w:r>
      <w:r w:rsidRPr="00AF63D6">
        <w:rPr>
          <w:rFonts w:ascii="Arial" w:hAnsi="Arial" w:cs="Arial"/>
          <w:color w:val="000000"/>
          <w:sz w:val="24"/>
          <w:szCs w:val="24"/>
        </w:rPr>
        <w:t xml:space="preserve">sp y </w:t>
      </w:r>
      <w:r w:rsidRPr="00AF63D6">
        <w:rPr>
          <w:rFonts w:ascii="Arial" w:hAnsi="Arial" w:cs="Arial"/>
          <w:iCs/>
          <w:color w:val="000000"/>
          <w:sz w:val="24"/>
          <w:szCs w:val="24"/>
        </w:rPr>
        <w:t xml:space="preserve">Aspergillus </w:t>
      </w:r>
      <w:r w:rsidRPr="00AF63D6">
        <w:rPr>
          <w:rFonts w:ascii="Arial" w:hAnsi="Arial" w:cs="Arial"/>
          <w:color w:val="000000"/>
          <w:sz w:val="24"/>
          <w:szCs w:val="24"/>
        </w:rPr>
        <w:t>sp (5, 6, 7). La mortalidad por esta patología es alta,  y oscila entre el 40% y 75% entre los pacientes inmunocomp</w:t>
      </w:r>
      <w:r w:rsidR="004F16B2" w:rsidRPr="00AF63D6">
        <w:rPr>
          <w:rFonts w:ascii="Arial" w:hAnsi="Arial" w:cs="Arial"/>
          <w:color w:val="000000"/>
          <w:sz w:val="24"/>
          <w:szCs w:val="24"/>
        </w:rPr>
        <w:t>rometidos principalmente si cursan con neutropenias</w:t>
      </w:r>
      <w:r w:rsidR="00057991">
        <w:rPr>
          <w:rFonts w:ascii="Arial" w:hAnsi="Arial" w:cs="Arial"/>
          <w:color w:val="000000"/>
          <w:sz w:val="24"/>
          <w:szCs w:val="24"/>
        </w:rPr>
        <w:t xml:space="preserve"> (18</w:t>
      </w:r>
      <w:r w:rsidRPr="00AF63D6">
        <w:rPr>
          <w:rFonts w:ascii="Arial" w:hAnsi="Arial" w:cs="Arial"/>
          <w:color w:val="000000"/>
          <w:sz w:val="24"/>
          <w:szCs w:val="24"/>
        </w:rPr>
        <w:t xml:space="preserve">). </w:t>
      </w:r>
    </w:p>
    <w:p w:rsidR="00CC1F72" w:rsidRPr="00AF63D6" w:rsidRDefault="004F16B2" w:rsidP="00CC1F72">
      <w:pPr>
        <w:autoSpaceDE w:val="0"/>
        <w:autoSpaceDN w:val="0"/>
        <w:adjustRightInd w:val="0"/>
        <w:spacing w:before="240"/>
        <w:jc w:val="both"/>
        <w:rPr>
          <w:rFonts w:ascii="Arial" w:hAnsi="Arial" w:cs="Arial"/>
          <w:color w:val="000000"/>
          <w:sz w:val="24"/>
          <w:szCs w:val="24"/>
        </w:rPr>
      </w:pPr>
      <w:r w:rsidRPr="00AF63D6">
        <w:rPr>
          <w:rFonts w:ascii="Arial" w:hAnsi="Arial" w:cs="Arial"/>
          <w:color w:val="000000"/>
          <w:sz w:val="24"/>
          <w:szCs w:val="24"/>
        </w:rPr>
        <w:t xml:space="preserve">Es común  que el </w:t>
      </w:r>
      <w:r w:rsidR="00BE0E38" w:rsidRPr="00AF63D6">
        <w:rPr>
          <w:rFonts w:ascii="Arial" w:hAnsi="Arial" w:cs="Arial"/>
          <w:color w:val="000000"/>
          <w:sz w:val="24"/>
          <w:szCs w:val="24"/>
        </w:rPr>
        <w:t>EG</w:t>
      </w:r>
      <w:r w:rsidRPr="00AF63D6">
        <w:rPr>
          <w:rFonts w:ascii="Arial" w:hAnsi="Arial" w:cs="Arial"/>
          <w:color w:val="000000"/>
          <w:sz w:val="24"/>
          <w:szCs w:val="24"/>
        </w:rPr>
        <w:t xml:space="preserve"> pueda presentarse </w:t>
      </w:r>
      <w:r w:rsidR="00CC1F72" w:rsidRPr="00AF63D6">
        <w:rPr>
          <w:rFonts w:ascii="Arial" w:hAnsi="Arial" w:cs="Arial"/>
          <w:color w:val="000000"/>
          <w:sz w:val="24"/>
          <w:szCs w:val="24"/>
        </w:rPr>
        <w:t xml:space="preserve"> en personas inmunocomprometidas por alguna patología de base, terapia inmunosupresora o ambas, y las enfermedades linfoproliferativas son las que con mayor frecuencia se asociación con esta complicación cutánea (14, 15).</w:t>
      </w:r>
    </w:p>
    <w:p w:rsidR="00CC1F72" w:rsidRPr="00AF63D6" w:rsidRDefault="00CC1F72" w:rsidP="00CC1F72">
      <w:pPr>
        <w:autoSpaceDE w:val="0"/>
        <w:autoSpaceDN w:val="0"/>
        <w:adjustRightInd w:val="0"/>
        <w:spacing w:before="240"/>
        <w:jc w:val="both"/>
        <w:rPr>
          <w:rFonts w:ascii="Arial" w:hAnsi="Arial" w:cs="Arial"/>
          <w:color w:val="000000"/>
          <w:sz w:val="24"/>
          <w:szCs w:val="24"/>
        </w:rPr>
      </w:pPr>
      <w:r w:rsidRPr="00AF63D6">
        <w:rPr>
          <w:rFonts w:ascii="Arial" w:hAnsi="Arial" w:cs="Arial"/>
          <w:color w:val="000000"/>
          <w:sz w:val="24"/>
          <w:szCs w:val="24"/>
        </w:rPr>
        <w:t>La lesión cutánea es la expresión de una vasculitis necrosante. Las vénulas pos capilares son invadidas a través de la adventicia por las bacterias que progresan hasta el lumen ocasionando trombosis de las vasos</w:t>
      </w:r>
      <w:r w:rsidR="004F16B2" w:rsidRPr="00AF63D6">
        <w:rPr>
          <w:rFonts w:ascii="Arial" w:hAnsi="Arial" w:cs="Arial"/>
          <w:color w:val="000000"/>
          <w:sz w:val="24"/>
          <w:szCs w:val="24"/>
        </w:rPr>
        <w:t>,</w:t>
      </w:r>
      <w:r w:rsidRPr="00AF63D6">
        <w:rPr>
          <w:rFonts w:ascii="Arial" w:hAnsi="Arial" w:cs="Arial"/>
          <w:color w:val="000000"/>
          <w:sz w:val="24"/>
          <w:szCs w:val="24"/>
        </w:rPr>
        <w:t xml:space="preserve"> acompañándose de edema e inflamación local, de allí se comprometen</w:t>
      </w:r>
      <w:r w:rsidR="004F16B2" w:rsidRPr="00AF63D6">
        <w:rPr>
          <w:rFonts w:ascii="Arial" w:hAnsi="Arial" w:cs="Arial"/>
          <w:color w:val="000000"/>
          <w:sz w:val="24"/>
          <w:szCs w:val="24"/>
        </w:rPr>
        <w:t xml:space="preserve"> las </w:t>
      </w:r>
      <w:r w:rsidRPr="00AF63D6">
        <w:rPr>
          <w:rFonts w:ascii="Arial" w:hAnsi="Arial" w:cs="Arial"/>
          <w:color w:val="000000"/>
          <w:sz w:val="24"/>
          <w:szCs w:val="24"/>
        </w:rPr>
        <w:t xml:space="preserve"> arteriolas dando las lesiones clínicas  que evo</w:t>
      </w:r>
      <w:r w:rsidR="004F16B2" w:rsidRPr="00AF63D6">
        <w:rPr>
          <w:rFonts w:ascii="Arial" w:hAnsi="Arial" w:cs="Arial"/>
          <w:color w:val="000000"/>
          <w:sz w:val="24"/>
          <w:szCs w:val="24"/>
        </w:rPr>
        <w:t>lucionan rápidamente a formar a</w:t>
      </w:r>
      <w:r w:rsidRPr="00AF63D6">
        <w:rPr>
          <w:rFonts w:ascii="Arial" w:hAnsi="Arial" w:cs="Arial"/>
          <w:color w:val="000000"/>
          <w:sz w:val="24"/>
          <w:szCs w:val="24"/>
        </w:rPr>
        <w:t>mpollas y necrosis. Esta evolución del eritema inicial a necrosis toma de 12 a 18 horas por eso en la forma clínica de la enfermedad podemos ver diferentes estadios evolutivos de ella (16)</w:t>
      </w:r>
    </w:p>
    <w:p w:rsidR="00BE0E38" w:rsidRPr="00AF63D6" w:rsidRDefault="00CC1F72" w:rsidP="00CC1F72">
      <w:pPr>
        <w:autoSpaceDE w:val="0"/>
        <w:autoSpaceDN w:val="0"/>
        <w:adjustRightInd w:val="0"/>
        <w:spacing w:before="240"/>
        <w:jc w:val="both"/>
        <w:rPr>
          <w:rFonts w:ascii="Arial" w:hAnsi="Arial" w:cs="Arial"/>
          <w:color w:val="000000"/>
          <w:sz w:val="24"/>
          <w:szCs w:val="24"/>
        </w:rPr>
      </w:pPr>
      <w:r w:rsidRPr="00AF63D6">
        <w:rPr>
          <w:rFonts w:ascii="Arial" w:hAnsi="Arial" w:cs="Arial"/>
          <w:color w:val="000000"/>
          <w:sz w:val="24"/>
          <w:szCs w:val="24"/>
        </w:rPr>
        <w:t>Esta entidad raramente se presenta en pacientes sin ninguna inmunodeficiencia (3). Aunque nuestro  paciente  no tenía una inmunodeficiencia primaria</w:t>
      </w:r>
      <w:r w:rsidR="00BE0E38" w:rsidRPr="00AF63D6">
        <w:rPr>
          <w:rFonts w:ascii="Arial" w:hAnsi="Arial" w:cs="Arial"/>
          <w:color w:val="000000"/>
          <w:sz w:val="24"/>
          <w:szCs w:val="24"/>
        </w:rPr>
        <w:t>,</w:t>
      </w:r>
      <w:r w:rsidRPr="00AF63D6">
        <w:rPr>
          <w:rFonts w:ascii="Arial" w:hAnsi="Arial" w:cs="Arial"/>
          <w:color w:val="000000"/>
          <w:sz w:val="24"/>
          <w:szCs w:val="24"/>
        </w:rPr>
        <w:t xml:space="preserve"> si presentaba una serie de factores coadyuvantes que condicionaron la presencia de esta patología, </w:t>
      </w:r>
      <w:r w:rsidR="00BE0E38" w:rsidRPr="00AF63D6">
        <w:rPr>
          <w:rFonts w:ascii="Arial" w:hAnsi="Arial" w:cs="Arial"/>
          <w:color w:val="000000"/>
          <w:sz w:val="24"/>
          <w:szCs w:val="24"/>
        </w:rPr>
        <w:t>dado a</w:t>
      </w:r>
      <w:r w:rsidRPr="00AF63D6">
        <w:rPr>
          <w:rFonts w:ascii="Arial" w:hAnsi="Arial" w:cs="Arial"/>
          <w:color w:val="000000"/>
          <w:sz w:val="24"/>
          <w:szCs w:val="24"/>
        </w:rPr>
        <w:t xml:space="preserve"> que  tenía un fondo atópico,  títulos para herpes 1 elevados, mala nutrición y cuidados iniciales deficientes  de su varicela que hicieron que se sobreinfectara  y luego hic</w:t>
      </w:r>
      <w:r w:rsidR="00BE0E38" w:rsidRPr="00AF63D6">
        <w:rPr>
          <w:rFonts w:ascii="Arial" w:hAnsi="Arial" w:cs="Arial"/>
          <w:color w:val="000000"/>
          <w:sz w:val="24"/>
          <w:szCs w:val="24"/>
        </w:rPr>
        <w:t>iera este cuadro tan grave de E</w:t>
      </w:r>
      <w:r w:rsidRPr="00AF63D6">
        <w:rPr>
          <w:rFonts w:ascii="Arial" w:hAnsi="Arial" w:cs="Arial"/>
          <w:color w:val="000000"/>
          <w:sz w:val="24"/>
          <w:szCs w:val="24"/>
        </w:rPr>
        <w:t xml:space="preserve">G. </w:t>
      </w:r>
      <w:r w:rsidR="00BE0E38" w:rsidRPr="00AF63D6">
        <w:rPr>
          <w:rFonts w:ascii="Arial" w:hAnsi="Arial" w:cs="Arial"/>
          <w:color w:val="000000"/>
          <w:sz w:val="24"/>
          <w:szCs w:val="24"/>
        </w:rPr>
        <w:t>L</w:t>
      </w:r>
      <w:r w:rsidRPr="00AF63D6">
        <w:rPr>
          <w:rFonts w:ascii="Arial" w:hAnsi="Arial" w:cs="Arial"/>
          <w:color w:val="000000"/>
          <w:sz w:val="24"/>
          <w:szCs w:val="24"/>
        </w:rPr>
        <w:t xml:space="preserve">os pacientes con varicela,  colonizados por </w:t>
      </w:r>
      <w:r w:rsidRPr="00AF63D6">
        <w:rPr>
          <w:rFonts w:ascii="Arial" w:hAnsi="Arial" w:cs="Arial"/>
          <w:i/>
          <w:iCs/>
          <w:color w:val="000000"/>
          <w:sz w:val="24"/>
          <w:szCs w:val="24"/>
        </w:rPr>
        <w:t>S. aureus</w:t>
      </w:r>
      <w:r w:rsidRPr="00AF63D6">
        <w:rPr>
          <w:rFonts w:ascii="Arial" w:hAnsi="Arial" w:cs="Arial"/>
          <w:color w:val="000000"/>
          <w:sz w:val="24"/>
          <w:szCs w:val="24"/>
        </w:rPr>
        <w:t xml:space="preserve">, tienen un riesgo de bacteremia  seis veces mayor que los no colonizados. </w:t>
      </w:r>
    </w:p>
    <w:p w:rsidR="00CC1F72" w:rsidRPr="00AF63D6" w:rsidRDefault="00CC1F72" w:rsidP="00CC1F72">
      <w:pPr>
        <w:autoSpaceDE w:val="0"/>
        <w:autoSpaceDN w:val="0"/>
        <w:adjustRightInd w:val="0"/>
        <w:spacing w:before="240"/>
        <w:jc w:val="both"/>
        <w:rPr>
          <w:rFonts w:ascii="Arial" w:hAnsi="Arial" w:cs="Arial"/>
          <w:color w:val="000000"/>
          <w:sz w:val="24"/>
          <w:szCs w:val="24"/>
        </w:rPr>
      </w:pPr>
      <w:r w:rsidRPr="00AF63D6">
        <w:rPr>
          <w:rFonts w:ascii="Arial" w:hAnsi="Arial" w:cs="Arial"/>
          <w:color w:val="000000"/>
          <w:sz w:val="24"/>
          <w:szCs w:val="24"/>
        </w:rPr>
        <w:t xml:space="preserve">Entre los </w:t>
      </w:r>
      <w:r w:rsidR="00BE0E38" w:rsidRPr="00AF63D6">
        <w:rPr>
          <w:rFonts w:ascii="Arial" w:hAnsi="Arial" w:cs="Arial"/>
          <w:color w:val="000000"/>
          <w:sz w:val="24"/>
          <w:szCs w:val="24"/>
        </w:rPr>
        <w:t>diagnósticos</w:t>
      </w:r>
      <w:r w:rsidRPr="00AF63D6">
        <w:rPr>
          <w:rFonts w:ascii="Arial" w:hAnsi="Arial" w:cs="Arial"/>
          <w:color w:val="000000"/>
          <w:sz w:val="24"/>
          <w:szCs w:val="24"/>
        </w:rPr>
        <w:t xml:space="preserve"> diferenciales de esta patología, se incluyen: Varicela Necrótica, </w:t>
      </w:r>
      <w:r w:rsidRPr="00AF63D6">
        <w:rPr>
          <w:rFonts w:ascii="Arial" w:hAnsi="Arial" w:cs="Arial"/>
          <w:sz w:val="24"/>
          <w:szCs w:val="24"/>
        </w:rPr>
        <w:t>Pitiriasis Liquenoide Varioliforme  Febril  Ulcerativa</w:t>
      </w:r>
      <w:r w:rsidRPr="00AF63D6">
        <w:rPr>
          <w:rFonts w:ascii="Arial" w:hAnsi="Arial" w:cs="Arial"/>
          <w:color w:val="000000"/>
          <w:sz w:val="24"/>
          <w:szCs w:val="24"/>
        </w:rPr>
        <w:t>,  Pioderma Gangre</w:t>
      </w:r>
      <w:r w:rsidRPr="00AF63D6">
        <w:rPr>
          <w:rFonts w:ascii="Arial" w:hAnsi="Arial" w:cs="Arial"/>
          <w:color w:val="000000"/>
          <w:sz w:val="24"/>
          <w:szCs w:val="24"/>
        </w:rPr>
        <w:softHyphen/>
        <w:t>noso, Gangrena de Fournier, Gangrena Estreptocócica, Vasculitis por hipersensibilidad y Poliarteritis Nodosa (3).</w:t>
      </w:r>
    </w:p>
    <w:p w:rsidR="00CC1F72" w:rsidRPr="00AF63D6" w:rsidRDefault="00CC1F72" w:rsidP="00CC1F72">
      <w:pPr>
        <w:autoSpaceDE w:val="0"/>
        <w:autoSpaceDN w:val="0"/>
        <w:adjustRightInd w:val="0"/>
        <w:spacing w:before="240"/>
        <w:jc w:val="both"/>
        <w:rPr>
          <w:rFonts w:ascii="Arial" w:hAnsi="Arial" w:cs="Arial"/>
          <w:sz w:val="24"/>
          <w:szCs w:val="24"/>
          <w:lang w:val="es-CO"/>
        </w:rPr>
      </w:pPr>
      <w:r w:rsidRPr="00AF63D6">
        <w:rPr>
          <w:rFonts w:ascii="Arial" w:hAnsi="Arial" w:cs="Arial"/>
          <w:color w:val="000000"/>
          <w:sz w:val="24"/>
          <w:szCs w:val="24"/>
        </w:rPr>
        <w:t xml:space="preserve">El </w:t>
      </w:r>
      <w:r w:rsidRPr="00AF63D6">
        <w:rPr>
          <w:rFonts w:ascii="Arial" w:hAnsi="Arial" w:cs="Arial"/>
          <w:i/>
          <w:iCs/>
          <w:color w:val="000000"/>
          <w:sz w:val="24"/>
          <w:szCs w:val="24"/>
        </w:rPr>
        <w:t>S. aureus</w:t>
      </w:r>
      <w:r w:rsidRPr="00AF63D6">
        <w:rPr>
          <w:rFonts w:ascii="Arial" w:hAnsi="Arial" w:cs="Arial"/>
          <w:color w:val="000000"/>
          <w:sz w:val="24"/>
          <w:szCs w:val="24"/>
        </w:rPr>
        <w:t xml:space="preserve"> es una bacteria que hace parte de la microflora normal de la piel, son cocos gram positivos que crecen como racimos de uvas, y se diferencian de los </w:t>
      </w:r>
      <w:r w:rsidRPr="00AF63D6">
        <w:rPr>
          <w:rFonts w:ascii="Arial" w:hAnsi="Arial" w:cs="Arial"/>
          <w:i/>
          <w:color w:val="000000"/>
          <w:sz w:val="24"/>
          <w:szCs w:val="24"/>
        </w:rPr>
        <w:t>streptococcus</w:t>
      </w:r>
      <w:r w:rsidRPr="00AF63D6">
        <w:rPr>
          <w:rFonts w:ascii="Arial" w:hAnsi="Arial" w:cs="Arial"/>
          <w:color w:val="000000"/>
          <w:sz w:val="24"/>
          <w:szCs w:val="24"/>
        </w:rPr>
        <w:t xml:space="preserve"> por ser catalasa positivos (8). Tiene  la capacidad de producir exotoxinas citolíticas y dermonecroticas, las cuales lisan a los </w:t>
      </w:r>
      <w:r w:rsidRPr="00AF63D6">
        <w:rPr>
          <w:rFonts w:ascii="Arial" w:hAnsi="Arial" w:cs="Arial"/>
          <w:color w:val="000000"/>
          <w:sz w:val="24"/>
          <w:szCs w:val="24"/>
        </w:rPr>
        <w:lastRenderedPageBreak/>
        <w:t>neutrofilos, y por esto hay liberación las enzimas lisosomicas que producen necrosis en piel (9).</w:t>
      </w:r>
      <w:r w:rsidRPr="00AF63D6">
        <w:rPr>
          <w:rFonts w:ascii="Arial" w:hAnsi="Arial" w:cs="Arial"/>
          <w:sz w:val="24"/>
          <w:szCs w:val="24"/>
          <w:lang w:val="es-CO"/>
        </w:rPr>
        <w:t xml:space="preserve"> También son causantes de infecciones como osteomielitis, artritis séptica, infecciones profundas, abscesos, neumonías, entre otras. Razón por la cual </w:t>
      </w:r>
      <w:r w:rsidR="00BE0E38" w:rsidRPr="00AF63D6">
        <w:rPr>
          <w:rFonts w:ascii="Arial" w:hAnsi="Arial" w:cs="Arial"/>
          <w:sz w:val="24"/>
          <w:szCs w:val="24"/>
          <w:lang w:val="es-CO"/>
        </w:rPr>
        <w:t>a la paciente descrita</w:t>
      </w:r>
      <w:r w:rsidRPr="00AF63D6">
        <w:rPr>
          <w:rFonts w:ascii="Arial" w:hAnsi="Arial" w:cs="Arial"/>
          <w:sz w:val="24"/>
          <w:szCs w:val="24"/>
          <w:lang w:val="es-CO"/>
        </w:rPr>
        <w:t xml:space="preserve"> se le realizaron estudios en busca de manifestaciones de bacteriemia.</w:t>
      </w:r>
    </w:p>
    <w:p w:rsidR="00CC1F72" w:rsidRPr="00AF63D6" w:rsidRDefault="00CC1F72" w:rsidP="00CC1F72">
      <w:pPr>
        <w:autoSpaceDE w:val="0"/>
        <w:autoSpaceDN w:val="0"/>
        <w:adjustRightInd w:val="0"/>
        <w:spacing w:before="240"/>
        <w:jc w:val="both"/>
        <w:rPr>
          <w:rFonts w:ascii="Arial" w:hAnsi="Arial" w:cs="Arial"/>
          <w:sz w:val="24"/>
          <w:szCs w:val="24"/>
          <w:lang w:val="es-CO"/>
        </w:rPr>
      </w:pPr>
      <w:r w:rsidRPr="00AF63D6">
        <w:rPr>
          <w:rFonts w:ascii="Arial" w:hAnsi="Arial" w:cs="Arial"/>
          <w:sz w:val="24"/>
          <w:szCs w:val="24"/>
          <w:lang w:val="es-CO"/>
        </w:rPr>
        <w:t xml:space="preserve">Clásicamente hay afectación de las zonas glúteas y la región perianal en un 60%, las extremidades en 30%, el resto del cuerpo y cara en 10%, el diagnóstico definitivo aparte de la sospecha clínica se hace por medio del aislamiento de la bacteria; muy rara vez se suele aislar la bacteria en sangre (10, 11). En nuestro caso, fue posible aislar el germen en el hemocultivo, el cual resulto positivo para </w:t>
      </w:r>
      <w:r w:rsidRPr="00AF63D6">
        <w:rPr>
          <w:rFonts w:ascii="Arial" w:hAnsi="Arial" w:cs="Arial"/>
          <w:i/>
          <w:sz w:val="24"/>
          <w:szCs w:val="24"/>
          <w:lang w:val="es-CO"/>
        </w:rPr>
        <w:t>S. aureus</w:t>
      </w:r>
      <w:r w:rsidR="00057991">
        <w:rPr>
          <w:rFonts w:ascii="Arial" w:hAnsi="Arial" w:cs="Arial"/>
          <w:i/>
          <w:sz w:val="24"/>
          <w:szCs w:val="24"/>
          <w:lang w:val="es-CO"/>
        </w:rPr>
        <w:t xml:space="preserve"> </w:t>
      </w:r>
      <w:r w:rsidR="00057991" w:rsidRPr="00057991">
        <w:rPr>
          <w:rFonts w:ascii="Arial" w:hAnsi="Arial" w:cs="Arial"/>
          <w:sz w:val="24"/>
          <w:szCs w:val="24"/>
          <w:lang w:val="es-CO"/>
        </w:rPr>
        <w:t>meticilino sensible</w:t>
      </w:r>
      <w:r w:rsidRPr="00AF63D6">
        <w:rPr>
          <w:rFonts w:ascii="Arial" w:hAnsi="Arial" w:cs="Arial"/>
          <w:i/>
          <w:sz w:val="24"/>
          <w:szCs w:val="24"/>
          <w:lang w:val="es-CO"/>
        </w:rPr>
        <w:t>.</w:t>
      </w:r>
      <w:r w:rsidRPr="00AF63D6">
        <w:rPr>
          <w:rFonts w:ascii="Arial" w:hAnsi="Arial" w:cs="Arial"/>
          <w:sz w:val="24"/>
          <w:szCs w:val="24"/>
          <w:lang w:val="es-CO"/>
        </w:rPr>
        <w:t xml:space="preserve"> </w:t>
      </w:r>
    </w:p>
    <w:p w:rsidR="00AF63D6" w:rsidRPr="00AF63D6" w:rsidRDefault="00AF63D6" w:rsidP="00AF63D6">
      <w:pPr>
        <w:autoSpaceDE w:val="0"/>
        <w:autoSpaceDN w:val="0"/>
        <w:adjustRightInd w:val="0"/>
        <w:spacing w:after="0" w:line="240" w:lineRule="auto"/>
        <w:jc w:val="both"/>
        <w:rPr>
          <w:rFonts w:ascii="Arial" w:hAnsi="Arial" w:cs="Arial"/>
          <w:sz w:val="24"/>
          <w:szCs w:val="24"/>
        </w:rPr>
      </w:pPr>
      <w:r w:rsidRPr="00AF63D6">
        <w:rPr>
          <w:rFonts w:ascii="Arial" w:hAnsi="Arial" w:cs="Arial"/>
          <w:sz w:val="24"/>
          <w:szCs w:val="24"/>
        </w:rPr>
        <w:t xml:space="preserve">El </w:t>
      </w:r>
      <w:r w:rsidRPr="00AF63D6">
        <w:rPr>
          <w:rFonts w:ascii="Arial" w:hAnsi="Arial" w:cs="Arial"/>
          <w:i/>
          <w:sz w:val="24"/>
          <w:szCs w:val="24"/>
        </w:rPr>
        <w:t xml:space="preserve">S. aureus </w:t>
      </w:r>
      <w:r w:rsidRPr="00AF63D6">
        <w:rPr>
          <w:rFonts w:ascii="Arial" w:hAnsi="Arial" w:cs="Arial"/>
          <w:sz w:val="24"/>
          <w:szCs w:val="24"/>
        </w:rPr>
        <w:t xml:space="preserve"> es altamente patógeno y se conoce que es debido a la producción de enzimas extracelulares que permiten la penetración e invasión de los diferentes tejidos (coagulasa, proteasa, metaloproteasas, hialuronidasas, lipasas y fosfolipasa C). También hay otros elementos que facilitan y permiten la adherencia, las cuales son las proteínas de unión a fibronectina y diversos factores de agregación. Los polisacáridos de adhesión favorecen la producción de biofilm y este es el método de su persistencia en materiales sintéticos (</w:t>
      </w:r>
      <w:r w:rsidRPr="00AF63D6">
        <w:rPr>
          <w:rFonts w:ascii="Arial" w:hAnsi="Arial" w:cs="Arial"/>
          <w:i/>
          <w:sz w:val="24"/>
          <w:szCs w:val="24"/>
        </w:rPr>
        <w:t>ej. catéteres)</w:t>
      </w:r>
      <w:r w:rsidRPr="00AF63D6">
        <w:rPr>
          <w:rFonts w:ascii="Arial" w:hAnsi="Arial" w:cs="Arial"/>
          <w:sz w:val="24"/>
          <w:szCs w:val="24"/>
        </w:rPr>
        <w:t xml:space="preserve"> sobre todo. Las toxinas que se destacan entre las conocidas son las hemolisinas, las enterotoxinas especialmente la </w:t>
      </w:r>
      <w:r w:rsidRPr="00AF63D6">
        <w:rPr>
          <w:rFonts w:ascii="Arial" w:hAnsi="Arial" w:cs="Arial"/>
          <w:i/>
          <w:sz w:val="24"/>
          <w:szCs w:val="24"/>
        </w:rPr>
        <w:t xml:space="preserve">Q </w:t>
      </w:r>
      <w:r w:rsidRPr="00AF63D6">
        <w:rPr>
          <w:rFonts w:ascii="Arial" w:hAnsi="Arial" w:cs="Arial"/>
          <w:sz w:val="24"/>
          <w:szCs w:val="24"/>
        </w:rPr>
        <w:t xml:space="preserve">y </w:t>
      </w:r>
      <w:r w:rsidRPr="00AF63D6">
        <w:rPr>
          <w:rFonts w:ascii="Arial" w:hAnsi="Arial" w:cs="Arial"/>
          <w:i/>
          <w:sz w:val="24"/>
          <w:szCs w:val="24"/>
        </w:rPr>
        <w:t>K-</w:t>
      </w:r>
      <w:r w:rsidRPr="00AF63D6">
        <w:rPr>
          <w:rFonts w:ascii="Arial" w:hAnsi="Arial" w:cs="Arial"/>
          <w:sz w:val="24"/>
          <w:szCs w:val="24"/>
        </w:rPr>
        <w:t xml:space="preserve">, la toxina exofoliativa, la toxina del síndrome de choque toxico, otros super-antígenos estafilococcicos y las leucocidinas. De todas las leucocidinas que se conocen, la leucocidina Panton-Valentin (LPV) y su expresión como </w:t>
      </w:r>
      <w:r w:rsidRPr="00AF63D6">
        <w:rPr>
          <w:rFonts w:ascii="Arial" w:hAnsi="Arial" w:cs="Arial"/>
          <w:i/>
          <w:sz w:val="24"/>
          <w:szCs w:val="24"/>
        </w:rPr>
        <w:t xml:space="preserve">lukS-PV y lukF-PV </w:t>
      </w:r>
      <w:r w:rsidRPr="00AF63D6">
        <w:rPr>
          <w:rFonts w:ascii="Arial" w:hAnsi="Arial" w:cs="Arial"/>
          <w:sz w:val="24"/>
          <w:szCs w:val="24"/>
        </w:rPr>
        <w:t xml:space="preserve">(derivaciones del locus </w:t>
      </w:r>
      <w:r w:rsidRPr="00AF63D6">
        <w:rPr>
          <w:rFonts w:ascii="Arial" w:hAnsi="Arial" w:cs="Arial"/>
          <w:i/>
          <w:sz w:val="24"/>
          <w:szCs w:val="24"/>
        </w:rPr>
        <w:t>pvl</w:t>
      </w:r>
      <w:r w:rsidRPr="00AF63D6">
        <w:rPr>
          <w:rFonts w:ascii="Arial" w:hAnsi="Arial" w:cs="Arial"/>
          <w:sz w:val="24"/>
          <w:szCs w:val="24"/>
        </w:rPr>
        <w:t xml:space="preserve">), tienen conexión con muchas cepas de </w:t>
      </w:r>
      <w:r w:rsidRPr="00AF63D6">
        <w:rPr>
          <w:rFonts w:ascii="Arial" w:hAnsi="Arial" w:cs="Arial"/>
          <w:i/>
          <w:sz w:val="24"/>
          <w:szCs w:val="24"/>
        </w:rPr>
        <w:t xml:space="preserve">S. aureus </w:t>
      </w:r>
      <w:r w:rsidRPr="00AF63D6">
        <w:rPr>
          <w:rFonts w:ascii="Arial" w:hAnsi="Arial" w:cs="Arial"/>
          <w:sz w:val="24"/>
          <w:szCs w:val="24"/>
        </w:rPr>
        <w:t xml:space="preserve"> meticilino resistente adquirido en la comunidad, y dichas cepas del entorno comunitario, producen con alta frecuencia dicha citotoxina, en cuanto a las cepas de </w:t>
      </w:r>
      <w:r w:rsidRPr="00AF63D6">
        <w:rPr>
          <w:rFonts w:ascii="Arial" w:hAnsi="Arial" w:cs="Arial"/>
          <w:i/>
          <w:sz w:val="24"/>
          <w:szCs w:val="24"/>
        </w:rPr>
        <w:t xml:space="preserve">S. aureus </w:t>
      </w:r>
      <w:r w:rsidRPr="00AF63D6">
        <w:rPr>
          <w:rFonts w:ascii="Arial" w:hAnsi="Arial" w:cs="Arial"/>
          <w:sz w:val="24"/>
          <w:szCs w:val="24"/>
        </w:rPr>
        <w:t xml:space="preserve">meticilino sensible y las cepas de </w:t>
      </w:r>
      <w:r w:rsidRPr="00AF63D6">
        <w:rPr>
          <w:rFonts w:ascii="Arial" w:hAnsi="Arial" w:cs="Arial"/>
          <w:i/>
          <w:sz w:val="24"/>
          <w:szCs w:val="24"/>
        </w:rPr>
        <w:t xml:space="preserve">S. aureus </w:t>
      </w:r>
      <w:r w:rsidRPr="00AF63D6">
        <w:rPr>
          <w:rFonts w:ascii="Arial" w:hAnsi="Arial" w:cs="Arial"/>
          <w:sz w:val="24"/>
          <w:szCs w:val="24"/>
        </w:rPr>
        <w:t xml:space="preserve">meticilino resistente adquiridas hospitalariamente no suelen portarla </w:t>
      </w:r>
      <w:r w:rsidR="00057991">
        <w:rPr>
          <w:rFonts w:ascii="Arial" w:hAnsi="Arial" w:cs="Arial"/>
          <w:sz w:val="24"/>
          <w:szCs w:val="24"/>
        </w:rPr>
        <w:t>(12</w:t>
      </w:r>
      <w:r w:rsidRPr="00AF63D6">
        <w:rPr>
          <w:rFonts w:ascii="Arial" w:hAnsi="Arial" w:cs="Arial"/>
          <w:sz w:val="24"/>
          <w:szCs w:val="24"/>
        </w:rPr>
        <w:t xml:space="preserve">). </w:t>
      </w:r>
    </w:p>
    <w:p w:rsidR="00AF63D6" w:rsidRPr="00AF63D6" w:rsidRDefault="00AF63D6" w:rsidP="00AF63D6">
      <w:pPr>
        <w:autoSpaceDE w:val="0"/>
        <w:autoSpaceDN w:val="0"/>
        <w:adjustRightInd w:val="0"/>
        <w:spacing w:after="0" w:line="240" w:lineRule="auto"/>
        <w:jc w:val="both"/>
        <w:rPr>
          <w:rFonts w:ascii="Arial" w:hAnsi="Arial" w:cs="Arial"/>
          <w:sz w:val="24"/>
          <w:szCs w:val="24"/>
        </w:rPr>
      </w:pPr>
    </w:p>
    <w:p w:rsidR="00AF63D6" w:rsidRPr="00AF63D6" w:rsidRDefault="00AF63D6" w:rsidP="00AF63D6">
      <w:pPr>
        <w:autoSpaceDE w:val="0"/>
        <w:autoSpaceDN w:val="0"/>
        <w:adjustRightInd w:val="0"/>
        <w:spacing w:after="0" w:line="240" w:lineRule="auto"/>
        <w:jc w:val="both"/>
        <w:rPr>
          <w:rFonts w:ascii="Arial" w:hAnsi="Arial" w:cs="Arial"/>
          <w:sz w:val="24"/>
          <w:szCs w:val="24"/>
        </w:rPr>
      </w:pPr>
      <w:r w:rsidRPr="00AF63D6">
        <w:rPr>
          <w:rFonts w:ascii="Arial" w:hAnsi="Arial" w:cs="Arial"/>
          <w:sz w:val="24"/>
          <w:szCs w:val="24"/>
        </w:rPr>
        <w:t xml:space="preserve">La LPV forma poros heptamericos en las membranas de los leucocitos, causando destrucción de los mismos. Las cepas LPV positivos, tienden a causar infecciones en piel y tejidos blandos como forunculosis (93%), abscesos cutáneos (50%) y neumonías rápidamente progresivas con alto grado de fatalidad. Por lo contrario respecto a las infecciones como endocarditis, síndrome de shock toxico y mediastinitis entre otras, se han asociados a cepas de </w:t>
      </w:r>
      <w:r w:rsidRPr="00AF63D6">
        <w:rPr>
          <w:rFonts w:ascii="Arial" w:hAnsi="Arial" w:cs="Arial"/>
          <w:i/>
          <w:sz w:val="24"/>
          <w:szCs w:val="24"/>
        </w:rPr>
        <w:t xml:space="preserve">S. aureus </w:t>
      </w:r>
      <w:r w:rsidRPr="00AF63D6">
        <w:rPr>
          <w:rFonts w:ascii="Arial" w:hAnsi="Arial" w:cs="Arial"/>
          <w:sz w:val="24"/>
          <w:szCs w:val="24"/>
        </w:rPr>
        <w:t xml:space="preserve">meticilino resistente LPV(-) </w:t>
      </w:r>
      <w:r w:rsidR="00057991">
        <w:rPr>
          <w:rFonts w:ascii="Arial" w:hAnsi="Arial" w:cs="Arial"/>
          <w:sz w:val="24"/>
          <w:szCs w:val="24"/>
        </w:rPr>
        <w:t>(12</w:t>
      </w:r>
      <w:r w:rsidRPr="00AF63D6">
        <w:rPr>
          <w:rFonts w:ascii="Arial" w:hAnsi="Arial" w:cs="Arial"/>
          <w:sz w:val="24"/>
          <w:szCs w:val="24"/>
        </w:rPr>
        <w:t>).</w:t>
      </w:r>
    </w:p>
    <w:p w:rsidR="00AF63D6" w:rsidRPr="00AF63D6" w:rsidRDefault="00AF63D6" w:rsidP="00AF63D6">
      <w:pPr>
        <w:autoSpaceDE w:val="0"/>
        <w:autoSpaceDN w:val="0"/>
        <w:adjustRightInd w:val="0"/>
        <w:spacing w:after="0" w:line="240" w:lineRule="auto"/>
        <w:jc w:val="both"/>
        <w:rPr>
          <w:rFonts w:ascii="Arial" w:hAnsi="Arial" w:cs="Arial"/>
          <w:sz w:val="24"/>
          <w:szCs w:val="24"/>
        </w:rPr>
      </w:pPr>
    </w:p>
    <w:p w:rsidR="00AF63D6" w:rsidRPr="00AF63D6" w:rsidRDefault="00AF63D6" w:rsidP="00AF63D6">
      <w:pPr>
        <w:autoSpaceDE w:val="0"/>
        <w:autoSpaceDN w:val="0"/>
        <w:adjustRightInd w:val="0"/>
        <w:spacing w:after="0" w:line="240" w:lineRule="auto"/>
        <w:jc w:val="both"/>
        <w:rPr>
          <w:rFonts w:ascii="Arial" w:hAnsi="Arial" w:cs="Arial"/>
          <w:sz w:val="24"/>
          <w:szCs w:val="24"/>
        </w:rPr>
      </w:pPr>
      <w:r w:rsidRPr="00AF63D6">
        <w:rPr>
          <w:rFonts w:ascii="Arial" w:hAnsi="Arial" w:cs="Arial"/>
          <w:sz w:val="24"/>
          <w:szCs w:val="24"/>
        </w:rPr>
        <w:t xml:space="preserve">Se estudia la posibilidad de combinación de factores de virulencia, principalmente la co-participación de otros factores, principalmente la proteína A y las hemolisinas alfa y gamma. También se está analizando el papel de los genes reguladores de expresión como son el </w:t>
      </w:r>
      <w:r w:rsidRPr="00AF63D6">
        <w:rPr>
          <w:rFonts w:ascii="Arial" w:hAnsi="Arial" w:cs="Arial"/>
          <w:i/>
          <w:sz w:val="24"/>
          <w:szCs w:val="24"/>
        </w:rPr>
        <w:t xml:space="preserve">agr, spa, sar </w:t>
      </w:r>
      <w:r w:rsidRPr="00AF63D6">
        <w:rPr>
          <w:rFonts w:ascii="Arial" w:hAnsi="Arial" w:cs="Arial"/>
          <w:sz w:val="24"/>
          <w:szCs w:val="24"/>
        </w:rPr>
        <w:t xml:space="preserve">y </w:t>
      </w:r>
      <w:r w:rsidRPr="00AF63D6">
        <w:rPr>
          <w:rFonts w:ascii="Arial" w:hAnsi="Arial" w:cs="Arial"/>
          <w:i/>
          <w:sz w:val="24"/>
          <w:szCs w:val="24"/>
        </w:rPr>
        <w:t xml:space="preserve">sigB. </w:t>
      </w:r>
      <w:r w:rsidRPr="00AF63D6">
        <w:rPr>
          <w:rFonts w:ascii="Arial" w:hAnsi="Arial" w:cs="Arial"/>
          <w:sz w:val="24"/>
          <w:szCs w:val="24"/>
        </w:rPr>
        <w:t xml:space="preserve">De todos estos el gen regulador accesorio </w:t>
      </w:r>
      <w:r w:rsidRPr="00AF63D6">
        <w:rPr>
          <w:rFonts w:ascii="Arial" w:hAnsi="Arial" w:cs="Arial"/>
          <w:i/>
          <w:sz w:val="24"/>
          <w:szCs w:val="24"/>
        </w:rPr>
        <w:t>agr</w:t>
      </w:r>
      <w:r w:rsidRPr="00AF63D6">
        <w:rPr>
          <w:rFonts w:ascii="Arial" w:hAnsi="Arial" w:cs="Arial"/>
          <w:sz w:val="24"/>
          <w:szCs w:val="24"/>
        </w:rPr>
        <w:t>, juega al parecer un papel de regular varios genes de virulencia como son las hemolisinas, leucocidinas y las LVP</w:t>
      </w:r>
      <w:r w:rsidR="00057991">
        <w:rPr>
          <w:rFonts w:ascii="Arial" w:hAnsi="Arial" w:cs="Arial"/>
          <w:sz w:val="24"/>
          <w:szCs w:val="24"/>
        </w:rPr>
        <w:t xml:space="preserve"> (12</w:t>
      </w:r>
      <w:r w:rsidRPr="00AF63D6">
        <w:rPr>
          <w:rFonts w:ascii="Arial" w:hAnsi="Arial" w:cs="Arial"/>
          <w:sz w:val="24"/>
          <w:szCs w:val="24"/>
        </w:rPr>
        <w:t>).</w:t>
      </w:r>
    </w:p>
    <w:p w:rsidR="00AF63D6" w:rsidRPr="00AF63D6" w:rsidRDefault="00AF63D6" w:rsidP="00CC1F72">
      <w:pPr>
        <w:autoSpaceDE w:val="0"/>
        <w:autoSpaceDN w:val="0"/>
        <w:adjustRightInd w:val="0"/>
        <w:spacing w:before="240"/>
        <w:jc w:val="both"/>
        <w:rPr>
          <w:rFonts w:ascii="Arial" w:hAnsi="Arial" w:cs="Arial"/>
          <w:sz w:val="24"/>
          <w:szCs w:val="24"/>
          <w:lang w:val="es-CO"/>
        </w:rPr>
      </w:pPr>
    </w:p>
    <w:p w:rsidR="00CC1F72" w:rsidRPr="00AF63D6" w:rsidRDefault="00CC1F72" w:rsidP="00CC1F72">
      <w:pPr>
        <w:autoSpaceDE w:val="0"/>
        <w:autoSpaceDN w:val="0"/>
        <w:adjustRightInd w:val="0"/>
        <w:spacing w:before="240"/>
        <w:jc w:val="both"/>
        <w:rPr>
          <w:rFonts w:ascii="Arial" w:hAnsi="Arial" w:cs="Arial"/>
          <w:sz w:val="24"/>
          <w:szCs w:val="24"/>
          <w:lang w:val="es-CO"/>
        </w:rPr>
      </w:pPr>
      <w:r w:rsidRPr="00AF63D6">
        <w:rPr>
          <w:rFonts w:ascii="Arial" w:hAnsi="Arial" w:cs="Arial"/>
          <w:sz w:val="24"/>
          <w:szCs w:val="24"/>
          <w:lang w:val="es-CO"/>
        </w:rPr>
        <w:lastRenderedPageBreak/>
        <w:t>Hay distintos casos en los que la bacteriemia, es el primer paso para la presencia de la sepsis o la presencia de una in</w:t>
      </w:r>
      <w:r w:rsidR="00057991">
        <w:rPr>
          <w:rFonts w:ascii="Arial" w:hAnsi="Arial" w:cs="Arial"/>
          <w:sz w:val="24"/>
          <w:szCs w:val="24"/>
          <w:lang w:val="es-CO"/>
        </w:rPr>
        <w:t>munodeficiencia no detectada (18</w:t>
      </w:r>
      <w:r w:rsidRPr="00AF63D6">
        <w:rPr>
          <w:rFonts w:ascii="Arial" w:hAnsi="Arial" w:cs="Arial"/>
          <w:sz w:val="24"/>
          <w:szCs w:val="24"/>
          <w:lang w:val="es-CO"/>
        </w:rPr>
        <w:t>), por esta razón se realizó Western Blot a la paciente descrita, el cual salió negativo.</w:t>
      </w:r>
    </w:p>
    <w:p w:rsidR="00CC1F72" w:rsidRPr="00AF63D6" w:rsidRDefault="00CC1F72" w:rsidP="00CC1F72">
      <w:pPr>
        <w:autoSpaceDE w:val="0"/>
        <w:autoSpaceDN w:val="0"/>
        <w:adjustRightInd w:val="0"/>
        <w:spacing w:before="240"/>
        <w:jc w:val="both"/>
        <w:rPr>
          <w:rFonts w:ascii="Arial" w:hAnsi="Arial" w:cs="Arial"/>
          <w:bCs/>
          <w:iCs/>
          <w:sz w:val="24"/>
          <w:szCs w:val="24"/>
          <w:lang w:val="es-CO"/>
        </w:rPr>
      </w:pPr>
      <w:r w:rsidRPr="00AF63D6">
        <w:rPr>
          <w:rFonts w:ascii="Arial" w:hAnsi="Arial" w:cs="Arial"/>
          <w:bCs/>
          <w:iCs/>
          <w:sz w:val="24"/>
          <w:szCs w:val="24"/>
          <w:lang w:val="es-CO"/>
        </w:rPr>
        <w:t>La infección por el VVZ en su primoinfección</w:t>
      </w:r>
      <w:r w:rsidR="00AF63D6" w:rsidRPr="00AF63D6">
        <w:rPr>
          <w:rFonts w:ascii="Arial" w:hAnsi="Arial" w:cs="Arial"/>
          <w:bCs/>
          <w:iCs/>
          <w:sz w:val="24"/>
          <w:szCs w:val="24"/>
          <w:lang w:val="es-CO"/>
        </w:rPr>
        <w:t xml:space="preserve"> ocasiona</w:t>
      </w:r>
      <w:r w:rsidRPr="00AF63D6">
        <w:rPr>
          <w:rFonts w:ascii="Arial" w:hAnsi="Arial" w:cs="Arial"/>
          <w:bCs/>
          <w:iCs/>
          <w:sz w:val="24"/>
          <w:szCs w:val="24"/>
          <w:lang w:val="es-CO"/>
        </w:rPr>
        <w:t xml:space="preserve"> la varicela, que se caracteriza por presentar fiebre, exantema</w:t>
      </w:r>
      <w:r w:rsidR="00AF63D6" w:rsidRPr="00AF63D6">
        <w:rPr>
          <w:rFonts w:ascii="Arial" w:hAnsi="Arial" w:cs="Arial"/>
          <w:bCs/>
          <w:iCs/>
          <w:sz w:val="24"/>
          <w:szCs w:val="24"/>
          <w:lang w:val="es-CO"/>
        </w:rPr>
        <w:t xml:space="preserve"> </w:t>
      </w:r>
      <w:r w:rsidRPr="00AF63D6">
        <w:rPr>
          <w:rFonts w:ascii="Arial" w:hAnsi="Arial" w:cs="Arial"/>
          <w:bCs/>
          <w:iCs/>
          <w:sz w:val="24"/>
          <w:szCs w:val="24"/>
          <w:lang w:val="es-CO"/>
        </w:rPr>
        <w:t>caracterizado por un brote pruriginoso, eritematoso, vesícular. La verdadera importancia clínica de esta enfermedad viene precedida del número de complicaciones que pueden presentarse, entre estas las sobreinfecciones cutáneas (4).</w:t>
      </w:r>
    </w:p>
    <w:p w:rsidR="00CC1F72" w:rsidRPr="00AF63D6" w:rsidRDefault="00CC1F72" w:rsidP="00CC1F72">
      <w:pPr>
        <w:autoSpaceDE w:val="0"/>
        <w:autoSpaceDN w:val="0"/>
        <w:adjustRightInd w:val="0"/>
        <w:spacing w:before="240"/>
        <w:jc w:val="both"/>
        <w:rPr>
          <w:rFonts w:ascii="Arial" w:hAnsi="Arial" w:cs="Arial"/>
          <w:sz w:val="24"/>
          <w:szCs w:val="24"/>
        </w:rPr>
      </w:pPr>
      <w:r w:rsidRPr="00AF63D6">
        <w:rPr>
          <w:rFonts w:ascii="Arial" w:hAnsi="Arial" w:cs="Arial"/>
          <w:bCs/>
          <w:iCs/>
          <w:sz w:val="24"/>
          <w:szCs w:val="24"/>
          <w:lang w:val="es-CO"/>
        </w:rPr>
        <w:t xml:space="preserve">El tratamiento antibiótico debe realizarse con aminoglucósidos asociados a betalactamicos, con espectro anti </w:t>
      </w:r>
      <w:r w:rsidRPr="00AF63D6">
        <w:rPr>
          <w:rFonts w:ascii="Arial" w:hAnsi="Arial" w:cs="Arial"/>
          <w:i/>
          <w:sz w:val="24"/>
          <w:szCs w:val="24"/>
        </w:rPr>
        <w:t xml:space="preserve">P. aeruginosa. </w:t>
      </w:r>
      <w:r w:rsidRPr="00AF63D6">
        <w:rPr>
          <w:rFonts w:ascii="Arial" w:hAnsi="Arial" w:cs="Arial"/>
          <w:sz w:val="24"/>
          <w:szCs w:val="24"/>
        </w:rPr>
        <w:t xml:space="preserve">El antibiograma está indicado en todos los casos, y debe de realizarse de forma rutinaria para verificar si se trata de una infección causada por un germen de la comunidad. El desbridamiento, debe realizarse bajo anestesia local (3). Se usa, también para </w:t>
      </w:r>
      <w:r w:rsidRPr="00AF63D6">
        <w:rPr>
          <w:rFonts w:ascii="Arial" w:hAnsi="Arial" w:cs="Arial"/>
          <w:i/>
          <w:sz w:val="24"/>
          <w:szCs w:val="24"/>
        </w:rPr>
        <w:t>S. aureus meticilino resistente</w:t>
      </w:r>
      <w:r w:rsidRPr="00AF63D6">
        <w:rPr>
          <w:rFonts w:ascii="Arial" w:hAnsi="Arial" w:cs="Arial"/>
          <w:sz w:val="24"/>
          <w:szCs w:val="24"/>
        </w:rPr>
        <w:t xml:space="preserve"> nosocomial, vancomicina, linezolid o daptomicina, por via parenteral y para el </w:t>
      </w:r>
      <w:r w:rsidRPr="00AF63D6">
        <w:rPr>
          <w:rFonts w:ascii="Arial" w:hAnsi="Arial" w:cs="Arial"/>
          <w:i/>
          <w:sz w:val="24"/>
          <w:szCs w:val="24"/>
        </w:rPr>
        <w:t>S. aureus meticilino resistente</w:t>
      </w:r>
      <w:r w:rsidRPr="00AF63D6">
        <w:rPr>
          <w:rFonts w:ascii="Arial" w:hAnsi="Arial" w:cs="Arial"/>
          <w:sz w:val="24"/>
          <w:szCs w:val="24"/>
        </w:rPr>
        <w:t xml:space="preserve"> comunitario, es buena opción emplear clindamicina o cotrimoxazol (17). Con la paciente descrita, se decidió iniciar antibioticoterapia con una lincosamida tipo clindamicina, ya que el germen aislado era sensible a este antibiótico. </w:t>
      </w:r>
    </w:p>
    <w:p w:rsidR="00CC1F72" w:rsidRPr="00AF63D6" w:rsidRDefault="00CC1F72" w:rsidP="00CC1F72">
      <w:pPr>
        <w:autoSpaceDE w:val="0"/>
        <w:autoSpaceDN w:val="0"/>
        <w:adjustRightInd w:val="0"/>
        <w:spacing w:before="240"/>
        <w:jc w:val="both"/>
        <w:rPr>
          <w:rFonts w:ascii="Arial" w:hAnsi="Arial" w:cs="Arial"/>
          <w:sz w:val="24"/>
          <w:szCs w:val="24"/>
          <w:lang w:val="es-CO"/>
        </w:rPr>
      </w:pPr>
      <w:r w:rsidRPr="00AF63D6">
        <w:rPr>
          <w:rFonts w:ascii="Arial" w:hAnsi="Arial" w:cs="Arial"/>
          <w:sz w:val="24"/>
          <w:szCs w:val="24"/>
          <w:lang w:val="es-CO"/>
        </w:rPr>
        <w:t xml:space="preserve">La paciente descrita, presento una recuperación satisfactoria y sin secuelas </w:t>
      </w:r>
      <w:r w:rsidR="00AF63D6" w:rsidRPr="00AF63D6">
        <w:rPr>
          <w:rFonts w:ascii="Arial" w:hAnsi="Arial" w:cs="Arial"/>
          <w:sz w:val="24"/>
          <w:szCs w:val="24"/>
          <w:lang w:val="es-CO"/>
        </w:rPr>
        <w:t>clínicas</w:t>
      </w:r>
      <w:r w:rsidRPr="00AF63D6">
        <w:rPr>
          <w:rFonts w:ascii="Arial" w:hAnsi="Arial" w:cs="Arial"/>
          <w:sz w:val="24"/>
          <w:szCs w:val="24"/>
          <w:lang w:val="es-CO"/>
        </w:rPr>
        <w:t>, además se realizaron pruebas cardiológicas en busca de vegetaciones, radiografía de huesos largos en busca de osteomielitis, entre otras; de esta manera se descartaron complicaciones postinfecciosas recientes.</w:t>
      </w:r>
    </w:p>
    <w:p w:rsidR="00CC1F72" w:rsidRPr="00AF63D6" w:rsidRDefault="00CC1F72" w:rsidP="00CC1F72">
      <w:pPr>
        <w:autoSpaceDE w:val="0"/>
        <w:autoSpaceDN w:val="0"/>
        <w:adjustRightInd w:val="0"/>
        <w:spacing w:before="240"/>
        <w:jc w:val="both"/>
        <w:rPr>
          <w:rFonts w:ascii="Arial" w:eastAsia="Times New Roman" w:hAnsi="Arial" w:cs="Arial"/>
          <w:b/>
          <w:bCs/>
          <w:i/>
          <w:iCs/>
          <w:kern w:val="36"/>
          <w:sz w:val="24"/>
          <w:szCs w:val="24"/>
          <w:lang w:eastAsia="es-ES"/>
        </w:rPr>
      </w:pPr>
      <w:r w:rsidRPr="00AF63D6">
        <w:rPr>
          <w:rFonts w:ascii="Arial" w:hAnsi="Arial" w:cs="Arial"/>
          <w:sz w:val="24"/>
          <w:szCs w:val="24"/>
          <w:lang w:val="es-CO"/>
        </w:rPr>
        <w:t xml:space="preserve">Actualmente la paciente se encuentra con un perfecto desarrollo psicosocial y periódicamente se le hace seguimiento por parte del servicio de dermatología pediátrica en busca de mejorar el aspecto de las cicatrices y mejorar la remodelación de la piel. </w:t>
      </w: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057991" w:rsidRDefault="00057991" w:rsidP="00CC1F72">
      <w:pPr>
        <w:autoSpaceDE w:val="0"/>
        <w:autoSpaceDN w:val="0"/>
        <w:adjustRightInd w:val="0"/>
        <w:spacing w:before="240"/>
        <w:jc w:val="both"/>
        <w:rPr>
          <w:rFonts w:ascii="Arial" w:hAnsi="Arial" w:cs="Arial"/>
          <w:b/>
          <w:sz w:val="24"/>
          <w:szCs w:val="24"/>
          <w:lang w:val="es-CO"/>
        </w:rPr>
      </w:pPr>
    </w:p>
    <w:p w:rsidR="00CC1F72" w:rsidRDefault="00CC1F72" w:rsidP="00CC1F72">
      <w:pPr>
        <w:autoSpaceDE w:val="0"/>
        <w:autoSpaceDN w:val="0"/>
        <w:adjustRightInd w:val="0"/>
        <w:spacing w:before="240"/>
        <w:jc w:val="both"/>
        <w:rPr>
          <w:rFonts w:ascii="Arial" w:hAnsi="Arial" w:cs="Arial"/>
          <w:b/>
          <w:sz w:val="24"/>
          <w:szCs w:val="24"/>
          <w:lang w:val="es-CO"/>
        </w:rPr>
      </w:pPr>
      <w:r>
        <w:rPr>
          <w:rFonts w:ascii="Arial" w:hAnsi="Arial" w:cs="Arial"/>
          <w:b/>
          <w:sz w:val="24"/>
          <w:szCs w:val="24"/>
          <w:lang w:val="es-CO"/>
        </w:rPr>
        <w:lastRenderedPageBreak/>
        <w:t>REFERENCIAS</w:t>
      </w:r>
    </w:p>
    <w:p w:rsidR="00CC1F72" w:rsidRDefault="00CC1F72" w:rsidP="00CC1F72">
      <w:pPr>
        <w:pStyle w:val="Pa13"/>
        <w:numPr>
          <w:ilvl w:val="0"/>
          <w:numId w:val="1"/>
        </w:numPr>
        <w:jc w:val="both"/>
        <w:rPr>
          <w:color w:val="000000"/>
        </w:rPr>
      </w:pPr>
      <w:r w:rsidRPr="00CC1F72">
        <w:rPr>
          <w:color w:val="000000"/>
          <w:lang w:val="en-US"/>
        </w:rPr>
        <w:t xml:space="preserve">Pandit AM, Siddaramappa B, Choudhary SV, Majunathswamy BS. Ecthyma gangrenosum in a new </w:t>
      </w:r>
      <w:r>
        <w:rPr>
          <w:color w:val="000000"/>
          <w:lang w:val="en-US"/>
        </w:rPr>
        <w:t xml:space="preserve">born child. </w:t>
      </w:r>
      <w:r>
        <w:rPr>
          <w:color w:val="000000"/>
        </w:rPr>
        <w:t>Indian J Der</w:t>
      </w:r>
      <w:r>
        <w:rPr>
          <w:color w:val="000000"/>
        </w:rPr>
        <w:softHyphen/>
        <w:t>matol Venereol Leprol 2003;69(1):52-53.</w:t>
      </w:r>
    </w:p>
    <w:p w:rsidR="00CC1F72" w:rsidRDefault="00CC1F72" w:rsidP="00CC1F72">
      <w:pPr>
        <w:pStyle w:val="Pa13"/>
        <w:numPr>
          <w:ilvl w:val="0"/>
          <w:numId w:val="1"/>
        </w:numPr>
        <w:jc w:val="both"/>
      </w:pPr>
      <w:r>
        <w:rPr>
          <w:color w:val="000000"/>
        </w:rPr>
        <w:t xml:space="preserve">El Baze P, Thyss A, Aldani C, Juhlin L, et al. </w:t>
      </w:r>
      <w:r>
        <w:rPr>
          <w:i/>
          <w:iCs/>
          <w:color w:val="000000"/>
          <w:lang w:val="en-US"/>
        </w:rPr>
        <w:t>Pseudomo</w:t>
      </w:r>
      <w:r>
        <w:rPr>
          <w:i/>
          <w:iCs/>
          <w:color w:val="000000"/>
          <w:lang w:val="en-US"/>
        </w:rPr>
        <w:softHyphen/>
        <w:t xml:space="preserve">nas aeruginosa </w:t>
      </w:r>
      <w:r>
        <w:rPr>
          <w:color w:val="000000"/>
          <w:lang w:val="en-US"/>
        </w:rPr>
        <w:t xml:space="preserve">0-11 folicullitis: development into ecthyma gangrenosum in immunosupressed patients. </w:t>
      </w:r>
      <w:r>
        <w:rPr>
          <w:color w:val="000000"/>
        </w:rPr>
        <w:t>Arch Dermatol 1985;121:873-6.</w:t>
      </w:r>
      <w:r>
        <w:t xml:space="preserve"> </w:t>
      </w:r>
    </w:p>
    <w:p w:rsidR="00CC1F72" w:rsidRDefault="00CC1F72" w:rsidP="00CC1F72">
      <w:pPr>
        <w:pStyle w:val="Pa13"/>
        <w:numPr>
          <w:ilvl w:val="0"/>
          <w:numId w:val="1"/>
        </w:numPr>
        <w:jc w:val="both"/>
        <w:rPr>
          <w:color w:val="000000"/>
        </w:rPr>
      </w:pPr>
      <w:r>
        <w:t>Caroline Chanussot Deprez, Miguel Ángel Cano Palmeros,</w:t>
      </w:r>
      <w:r>
        <w:rPr>
          <w:color w:val="000000"/>
        </w:rPr>
        <w:t xml:space="preserve"> Dinora Bueno Díaz.</w:t>
      </w:r>
      <w:r>
        <w:t xml:space="preserve"> </w:t>
      </w:r>
      <w:r>
        <w:rPr>
          <w:bCs/>
        </w:rPr>
        <w:t xml:space="preserve">Ectima gangrenoso. Comunicación de un caso en un paciente inmunocompetente. </w:t>
      </w:r>
      <w:r>
        <w:rPr>
          <w:color w:val="000000"/>
        </w:rPr>
        <w:t>Dermatología Rev Mex 2008;52(3):127-9.</w:t>
      </w:r>
    </w:p>
    <w:p w:rsidR="00CC1F72" w:rsidRDefault="00CC1F72" w:rsidP="00CC1F72">
      <w:pPr>
        <w:pStyle w:val="Pa13"/>
        <w:numPr>
          <w:ilvl w:val="0"/>
          <w:numId w:val="1"/>
        </w:numPr>
        <w:jc w:val="both"/>
        <w:rPr>
          <w:color w:val="000000"/>
        </w:rPr>
      </w:pPr>
      <w:r>
        <w:t xml:space="preserve">V. Pineda Solas. Varicela en pacientes de riesgo. </w:t>
      </w:r>
      <w:r>
        <w:rPr>
          <w:lang w:val="en-GB"/>
        </w:rPr>
        <w:t>An Pediatr (Barc). 2003;59(Supl 1):27-31.</w:t>
      </w:r>
    </w:p>
    <w:p w:rsidR="00CC1F72" w:rsidRDefault="00CC1F72" w:rsidP="00CC1F72">
      <w:pPr>
        <w:pStyle w:val="Pa13"/>
        <w:numPr>
          <w:ilvl w:val="0"/>
          <w:numId w:val="1"/>
        </w:numPr>
        <w:jc w:val="both"/>
        <w:rPr>
          <w:color w:val="000000"/>
        </w:rPr>
      </w:pPr>
      <w:r>
        <w:rPr>
          <w:color w:val="000000"/>
          <w:lang w:val="en-US"/>
        </w:rPr>
        <w:t xml:space="preserve">Tsao H, Swartz M, Weinberg A, Jonson RA. </w:t>
      </w:r>
      <w:r>
        <w:rPr>
          <w:color w:val="000000"/>
        </w:rPr>
        <w:t>Infecciones en tejidos blandos: erisipela, celulitis y celulitis gangrenosa. En: Fitzpatrick TB, editor. Dermatología en Medicina General. 5ª ed. Buenos Aires: Médica Panamericana, 2001;pp:2344-64.</w:t>
      </w:r>
    </w:p>
    <w:p w:rsidR="00CC1F72" w:rsidRDefault="00CC1F72" w:rsidP="00CC1F72">
      <w:pPr>
        <w:pStyle w:val="Pa13"/>
        <w:numPr>
          <w:ilvl w:val="0"/>
          <w:numId w:val="1"/>
        </w:numPr>
        <w:jc w:val="both"/>
        <w:rPr>
          <w:color w:val="000000"/>
          <w:lang w:val="en-US"/>
        </w:rPr>
      </w:pPr>
      <w:r>
        <w:rPr>
          <w:color w:val="000000"/>
          <w:lang w:val="en-US"/>
        </w:rPr>
        <w:t xml:space="preserve">Aygencel G, Dizbay M, Sahin G. </w:t>
      </w:r>
      <w:r>
        <w:rPr>
          <w:i/>
          <w:iCs/>
          <w:color w:val="000000"/>
          <w:lang w:val="en-US"/>
        </w:rPr>
        <w:t xml:space="preserve">Burkholderia cepacia </w:t>
      </w:r>
      <w:r>
        <w:rPr>
          <w:color w:val="000000"/>
          <w:lang w:val="en-US"/>
        </w:rPr>
        <w:t>as a cause of ecthyma gangrenosum-like lesion infection 2007 (Epub ahead of print).</w:t>
      </w:r>
    </w:p>
    <w:p w:rsidR="00CC1F72" w:rsidRDefault="00CC1F72" w:rsidP="00CC1F72">
      <w:pPr>
        <w:pStyle w:val="Pa13"/>
        <w:numPr>
          <w:ilvl w:val="0"/>
          <w:numId w:val="1"/>
        </w:numPr>
        <w:jc w:val="both"/>
        <w:rPr>
          <w:color w:val="000000"/>
        </w:rPr>
      </w:pPr>
      <w:r>
        <w:rPr>
          <w:color w:val="000000"/>
          <w:lang w:val="en-US"/>
        </w:rPr>
        <w:t>Agarwal S, Sharma M, Mehndirata V. Solitary ecthyma gan</w:t>
      </w:r>
      <w:r>
        <w:rPr>
          <w:color w:val="000000"/>
          <w:lang w:val="en-US"/>
        </w:rPr>
        <w:softHyphen/>
        <w:t xml:space="preserve">grenosum (EG)-like lesion consequent to </w:t>
      </w:r>
      <w:r>
        <w:rPr>
          <w:i/>
          <w:iCs/>
          <w:color w:val="000000"/>
          <w:lang w:val="en-US"/>
        </w:rPr>
        <w:t xml:space="preserve">Candida albicans </w:t>
      </w:r>
      <w:r>
        <w:rPr>
          <w:color w:val="000000"/>
          <w:lang w:val="en-US"/>
        </w:rPr>
        <w:t xml:space="preserve">in a neonate. </w:t>
      </w:r>
      <w:r>
        <w:rPr>
          <w:color w:val="000000"/>
        </w:rPr>
        <w:t>Indian J Pediatr 2007;74:582-4.</w:t>
      </w:r>
    </w:p>
    <w:p w:rsidR="00CC1F72" w:rsidRDefault="00CC1F72" w:rsidP="00CC1F72">
      <w:pPr>
        <w:pStyle w:val="Pa13"/>
        <w:numPr>
          <w:ilvl w:val="0"/>
          <w:numId w:val="1"/>
        </w:numPr>
        <w:jc w:val="both"/>
        <w:rPr>
          <w:color w:val="000000"/>
        </w:rPr>
      </w:pPr>
      <w:r>
        <w:t>Todd JK.</w:t>
      </w:r>
      <w:r>
        <w:rPr>
          <w:bCs/>
          <w:i/>
          <w:iCs/>
        </w:rPr>
        <w:t xml:space="preserve"> Infecciones estafilocócica.</w:t>
      </w:r>
      <w:r>
        <w:t xml:space="preserve"> Pediatr Rev. 2005;26:438-43.</w:t>
      </w:r>
    </w:p>
    <w:p w:rsidR="00CC1F72" w:rsidRDefault="00CC1F72" w:rsidP="00CC1F72">
      <w:pPr>
        <w:pStyle w:val="Pa13"/>
        <w:numPr>
          <w:ilvl w:val="0"/>
          <w:numId w:val="1"/>
        </w:numPr>
        <w:jc w:val="both"/>
      </w:pPr>
      <w:r>
        <w:rPr>
          <w:color w:val="000000"/>
        </w:rPr>
        <w:t xml:space="preserve">Carrada-Bravo T. </w:t>
      </w:r>
      <w:r>
        <w:t>Varicela gangrenosa: caso clínico, diagnóstico y tratamiento. Revista de enfermedades infecciosas en pediatría. 2006 Vol.XX Núm. 78: 40-44.</w:t>
      </w:r>
    </w:p>
    <w:p w:rsidR="00CC1F72" w:rsidRDefault="00CC1F72" w:rsidP="00CC1F72">
      <w:pPr>
        <w:pStyle w:val="Pa13"/>
        <w:numPr>
          <w:ilvl w:val="0"/>
          <w:numId w:val="1"/>
        </w:numPr>
        <w:jc w:val="both"/>
      </w:pPr>
      <w:r>
        <w:rPr>
          <w:lang w:val="en-US"/>
        </w:rPr>
        <w:t xml:space="preserve">Duman M, Özdemir D, Yis U, Köroglu TF, Ören O, Berktas S. Multiple erythematous nodules and ecthyma gangrenosum as a manifestation of </w:t>
      </w:r>
      <w:r>
        <w:rPr>
          <w:i/>
          <w:iCs/>
          <w:lang w:val="en-US"/>
        </w:rPr>
        <w:t xml:space="preserve">Pseudomonas aeruginosa </w:t>
      </w:r>
      <w:r>
        <w:rPr>
          <w:lang w:val="en-US"/>
        </w:rPr>
        <w:t xml:space="preserve">sepsis in a previously healthy infant. </w:t>
      </w:r>
      <w:r>
        <w:rPr>
          <w:i/>
          <w:iCs/>
          <w:lang w:val="en-US"/>
        </w:rPr>
        <w:t xml:space="preserve">Pediatr Dermatol </w:t>
      </w:r>
      <w:r>
        <w:rPr>
          <w:lang w:val="en-US"/>
        </w:rPr>
        <w:t xml:space="preserve">2006; </w:t>
      </w:r>
      <w:r>
        <w:rPr>
          <w:i/>
          <w:iCs/>
          <w:lang w:val="en-US"/>
        </w:rPr>
        <w:t xml:space="preserve">23: </w:t>
      </w:r>
      <w:r>
        <w:rPr>
          <w:lang w:val="en-US"/>
        </w:rPr>
        <w:t>243-246.</w:t>
      </w:r>
    </w:p>
    <w:p w:rsidR="00CC1F72" w:rsidRDefault="00CC1F72" w:rsidP="00CC1F72">
      <w:pPr>
        <w:pStyle w:val="Prrafodelista"/>
        <w:numPr>
          <w:ilvl w:val="0"/>
          <w:numId w:val="1"/>
        </w:numPr>
        <w:autoSpaceDE w:val="0"/>
        <w:autoSpaceDN w:val="0"/>
        <w:adjustRightInd w:val="0"/>
        <w:spacing w:after="0" w:line="240" w:lineRule="auto"/>
        <w:jc w:val="both"/>
        <w:rPr>
          <w:rFonts w:ascii="Arial" w:hAnsi="Arial" w:cs="Arial"/>
          <w:sz w:val="24"/>
          <w:szCs w:val="24"/>
          <w:lang w:val="es-CO"/>
        </w:rPr>
      </w:pPr>
      <w:r>
        <w:rPr>
          <w:rFonts w:ascii="Arial" w:hAnsi="Arial" w:cs="Arial"/>
          <w:sz w:val="24"/>
          <w:szCs w:val="24"/>
          <w:lang w:val="es-CO"/>
        </w:rPr>
        <w:t xml:space="preserve">Ishikawa T, Sakurai Y, Tanaka M, Daikoku N, Ishihara T, Nakajima M, </w:t>
      </w:r>
      <w:r>
        <w:rPr>
          <w:rFonts w:ascii="Arial" w:hAnsi="Arial" w:cs="Arial"/>
          <w:i/>
          <w:iCs/>
          <w:sz w:val="24"/>
          <w:szCs w:val="24"/>
          <w:lang w:val="es-CO"/>
        </w:rPr>
        <w:t xml:space="preserve">et al. </w:t>
      </w:r>
      <w:r>
        <w:rPr>
          <w:rFonts w:ascii="Arial" w:hAnsi="Arial" w:cs="Arial"/>
          <w:sz w:val="24"/>
          <w:szCs w:val="24"/>
          <w:lang w:val="en-US"/>
        </w:rPr>
        <w:t xml:space="preserve">Ecthyma gangrenosum-like lesions in a healthy child after infection treated with antibiotics. </w:t>
      </w:r>
      <w:r>
        <w:rPr>
          <w:rFonts w:ascii="Arial" w:hAnsi="Arial" w:cs="Arial"/>
          <w:i/>
          <w:iCs/>
          <w:sz w:val="24"/>
          <w:szCs w:val="24"/>
          <w:lang w:val="es-CO"/>
        </w:rPr>
        <w:t xml:space="preserve">Pediatr Dermatol </w:t>
      </w:r>
      <w:r>
        <w:rPr>
          <w:rFonts w:ascii="Arial" w:hAnsi="Arial" w:cs="Arial"/>
          <w:sz w:val="24"/>
          <w:szCs w:val="24"/>
          <w:lang w:val="es-CO"/>
        </w:rPr>
        <w:t xml:space="preserve">2005; </w:t>
      </w:r>
      <w:r>
        <w:rPr>
          <w:rFonts w:ascii="Arial" w:hAnsi="Arial" w:cs="Arial"/>
          <w:i/>
          <w:iCs/>
          <w:sz w:val="24"/>
          <w:szCs w:val="24"/>
          <w:lang w:val="es-CO"/>
        </w:rPr>
        <w:t>22</w:t>
      </w:r>
      <w:r>
        <w:rPr>
          <w:rFonts w:ascii="Arial" w:hAnsi="Arial" w:cs="Arial"/>
          <w:b/>
          <w:bCs/>
          <w:i/>
          <w:iCs/>
          <w:sz w:val="24"/>
          <w:szCs w:val="24"/>
          <w:lang w:val="es-CO"/>
        </w:rPr>
        <w:t xml:space="preserve">: </w:t>
      </w:r>
      <w:r>
        <w:rPr>
          <w:rFonts w:ascii="Arial" w:hAnsi="Arial" w:cs="Arial"/>
          <w:sz w:val="24"/>
          <w:szCs w:val="24"/>
          <w:lang w:val="es-CO"/>
        </w:rPr>
        <w:t>453-456.</w:t>
      </w:r>
    </w:p>
    <w:p w:rsidR="00057991" w:rsidRDefault="00057991" w:rsidP="00057991">
      <w:pPr>
        <w:pStyle w:val="Prrafodelista"/>
        <w:numPr>
          <w:ilvl w:val="0"/>
          <w:numId w:val="1"/>
        </w:numPr>
        <w:autoSpaceDE w:val="0"/>
        <w:autoSpaceDN w:val="0"/>
        <w:adjustRightInd w:val="0"/>
        <w:spacing w:after="0" w:line="240" w:lineRule="auto"/>
        <w:jc w:val="both"/>
        <w:rPr>
          <w:rFonts w:ascii="Arial" w:hAnsi="Arial" w:cs="Arial"/>
          <w:sz w:val="24"/>
          <w:szCs w:val="24"/>
        </w:rPr>
      </w:pPr>
      <w:r w:rsidRPr="00AF63D6">
        <w:rPr>
          <w:rFonts w:ascii="Arial" w:hAnsi="Arial" w:cs="Arial"/>
          <w:bCs/>
          <w:sz w:val="24"/>
          <w:szCs w:val="24"/>
          <w:lang w:val="es-CO"/>
        </w:rPr>
        <w:t xml:space="preserve">De Colsa A. </w:t>
      </w:r>
      <w:r w:rsidRPr="00AF63D6">
        <w:rPr>
          <w:rFonts w:ascii="Arial" w:hAnsi="Arial" w:cs="Arial"/>
          <w:bCs/>
          <w:i/>
          <w:iCs/>
          <w:sz w:val="24"/>
          <w:szCs w:val="24"/>
          <w:lang w:val="es-CO"/>
        </w:rPr>
        <w:t xml:space="preserve">Staphylococcus aureus: </w:t>
      </w:r>
      <w:r w:rsidRPr="00AF63D6">
        <w:rPr>
          <w:rFonts w:ascii="Arial" w:hAnsi="Arial" w:cs="Arial"/>
          <w:sz w:val="24"/>
          <w:szCs w:val="24"/>
          <w:lang w:val="es-CO"/>
        </w:rPr>
        <w:t>De la genómica a la clínica. Revista de Enfermedades Infecciosas en Pediatría, 2011 Vol. XXIV Núm. 95 (91-94).</w:t>
      </w:r>
    </w:p>
    <w:p w:rsidR="00CC1F72" w:rsidRDefault="00CC1F72" w:rsidP="00CC1F72">
      <w:pPr>
        <w:pStyle w:val="Default"/>
        <w:numPr>
          <w:ilvl w:val="0"/>
          <w:numId w:val="1"/>
        </w:numPr>
        <w:jc w:val="both"/>
      </w:pPr>
      <w:r>
        <w:t>Marques S, Fioretto J, Martins J, Sato C, dos Santos D.</w:t>
      </w:r>
      <w:r>
        <w:rPr>
          <w:rFonts w:ascii="Rotis SemiSans Std" w:hAnsi="Rotis SemiSans Std" w:cs="Rotis SemiSans Std"/>
        </w:rPr>
        <w:t xml:space="preserve"> </w:t>
      </w:r>
      <w:r>
        <w:t>Ectima gangrenoso: apresentação clínica grave e reveladora de imunodeficiência primária subjacente. Relato de caso. Diagn Tratamento. 2009;14(3):108-10.</w:t>
      </w:r>
    </w:p>
    <w:p w:rsidR="00CC1F72" w:rsidRDefault="00CC1F72" w:rsidP="00CC1F72">
      <w:pPr>
        <w:pStyle w:val="Prrafodelista"/>
        <w:numPr>
          <w:ilvl w:val="0"/>
          <w:numId w:val="1"/>
        </w:numPr>
        <w:autoSpaceDE w:val="0"/>
        <w:autoSpaceDN w:val="0"/>
        <w:adjustRightInd w:val="0"/>
        <w:spacing w:after="0" w:line="240" w:lineRule="auto"/>
        <w:jc w:val="both"/>
        <w:rPr>
          <w:rFonts w:ascii="Arial" w:hAnsi="Arial" w:cs="Arial"/>
          <w:color w:val="000000"/>
          <w:sz w:val="24"/>
          <w:szCs w:val="24"/>
          <w:lang w:val="en-US"/>
        </w:rPr>
      </w:pPr>
      <w:r>
        <w:rPr>
          <w:rFonts w:ascii="Arial" w:hAnsi="Arial" w:cs="Arial"/>
          <w:sz w:val="24"/>
          <w:szCs w:val="24"/>
          <w:lang w:val="es-CO"/>
        </w:rPr>
        <w:t xml:space="preserve">Huminer D, Siegman-Igra Y, Morduchowicz G, Pitlik SD. </w:t>
      </w:r>
      <w:r>
        <w:rPr>
          <w:rFonts w:ascii="Arial" w:hAnsi="Arial" w:cs="Arial"/>
          <w:sz w:val="24"/>
          <w:szCs w:val="24"/>
          <w:lang w:val="en-US"/>
        </w:rPr>
        <w:t xml:space="preserve">Ecthyma gangrenosum without bacteraemia. Report of six cases and review of the literature. </w:t>
      </w:r>
      <w:r>
        <w:rPr>
          <w:rFonts w:ascii="Arial" w:hAnsi="Arial" w:cs="Arial"/>
          <w:i/>
          <w:iCs/>
          <w:sz w:val="24"/>
          <w:szCs w:val="24"/>
          <w:lang w:val="en-US"/>
        </w:rPr>
        <w:t xml:space="preserve">Arch Inter Med </w:t>
      </w:r>
      <w:r>
        <w:rPr>
          <w:rFonts w:ascii="Arial" w:hAnsi="Arial" w:cs="Arial"/>
          <w:sz w:val="24"/>
          <w:szCs w:val="24"/>
          <w:lang w:val="en-US"/>
        </w:rPr>
        <w:t xml:space="preserve">1987; </w:t>
      </w:r>
      <w:r>
        <w:rPr>
          <w:rFonts w:ascii="Arial" w:hAnsi="Arial" w:cs="Arial"/>
          <w:i/>
          <w:iCs/>
          <w:sz w:val="24"/>
          <w:szCs w:val="24"/>
          <w:lang w:val="en-US"/>
        </w:rPr>
        <w:t xml:space="preserve">147: </w:t>
      </w:r>
      <w:r>
        <w:rPr>
          <w:rFonts w:ascii="Arial" w:hAnsi="Arial" w:cs="Arial"/>
          <w:sz w:val="24"/>
          <w:szCs w:val="24"/>
          <w:lang w:val="en-US"/>
        </w:rPr>
        <w:t>299-301.</w:t>
      </w:r>
    </w:p>
    <w:p w:rsidR="00CC1F72" w:rsidRDefault="00CC1F72" w:rsidP="00CC1F72">
      <w:pPr>
        <w:pStyle w:val="Prrafodelista"/>
        <w:numPr>
          <w:ilvl w:val="0"/>
          <w:numId w:val="1"/>
        </w:num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Song W.K., Kim Y.C., Park H.J., Cinn Y.W. Ecthyma gangrenosum without bacteraemia in a leukaemic patient. Clin and Exp Dermatol, 26, 395-397.</w:t>
      </w:r>
    </w:p>
    <w:p w:rsidR="00CC1F72" w:rsidRDefault="00CC1F72" w:rsidP="00CC1F72">
      <w:pPr>
        <w:pStyle w:val="Prrafodelista"/>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Silvio aleancar y col. Ectima gangrenoso. Diag y tto 2009; 14(3) 108-110</w:t>
      </w:r>
    </w:p>
    <w:p w:rsidR="00CC1F72" w:rsidRDefault="00CC1F72" w:rsidP="00CC1F72">
      <w:pPr>
        <w:pStyle w:val="Prrafodelista"/>
        <w:numPr>
          <w:ilvl w:val="0"/>
          <w:numId w:val="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Herrera V, González J., Iglesias D. Actualización en el manejo de antibióticos en las infecciones superficiales de piel y partes blandas. Acta Med Per. 2006; 23(1), 32-34.</w:t>
      </w:r>
    </w:p>
    <w:p w:rsidR="00057991" w:rsidRPr="00057991" w:rsidRDefault="00057991" w:rsidP="00057991">
      <w:pPr>
        <w:pStyle w:val="Prrafodelista"/>
        <w:numPr>
          <w:ilvl w:val="0"/>
          <w:numId w:val="1"/>
        </w:numPr>
        <w:autoSpaceDE w:val="0"/>
        <w:autoSpaceDN w:val="0"/>
        <w:adjustRightInd w:val="0"/>
        <w:spacing w:after="0" w:line="240" w:lineRule="auto"/>
        <w:jc w:val="both"/>
        <w:rPr>
          <w:rFonts w:ascii="Arial" w:hAnsi="Arial" w:cs="Arial"/>
          <w:sz w:val="24"/>
          <w:szCs w:val="24"/>
          <w:lang w:val="es-CO"/>
        </w:rPr>
      </w:pPr>
      <w:r>
        <w:rPr>
          <w:rFonts w:ascii="Arial" w:hAnsi="Arial" w:cs="Arial"/>
          <w:bCs/>
          <w:sz w:val="24"/>
          <w:szCs w:val="24"/>
          <w:lang w:val="es-CO"/>
        </w:rPr>
        <w:lastRenderedPageBreak/>
        <w:t xml:space="preserve">Vergara E, Largo J, Galván F. Ectima gangrenoso en niño sano sin septicemia. </w:t>
      </w:r>
      <w:r>
        <w:rPr>
          <w:rFonts w:ascii="Arial" w:hAnsi="Arial" w:cs="Arial"/>
          <w:bCs/>
          <w:iCs/>
          <w:sz w:val="24"/>
          <w:szCs w:val="24"/>
          <w:lang w:val="es-CO"/>
        </w:rPr>
        <w:t>Colomb Med 2007; 38: 408-411.</w:t>
      </w:r>
    </w:p>
    <w:p w:rsidR="00CC1F72" w:rsidRDefault="00CC1F72" w:rsidP="00CC1F72"/>
    <w:p w:rsidR="004050B5" w:rsidRDefault="004050B5" w:rsidP="004050B5">
      <w:pPr>
        <w:autoSpaceDE w:val="0"/>
        <w:autoSpaceDN w:val="0"/>
        <w:adjustRightInd w:val="0"/>
        <w:spacing w:after="0" w:line="240" w:lineRule="auto"/>
        <w:jc w:val="both"/>
        <w:rPr>
          <w:rFonts w:ascii="Arial" w:hAnsi="Arial" w:cs="Arial"/>
          <w:sz w:val="24"/>
          <w:szCs w:val="24"/>
        </w:rPr>
      </w:pPr>
    </w:p>
    <w:p w:rsidR="00A269D1" w:rsidRDefault="00A269D1" w:rsidP="00C4088C">
      <w:pPr>
        <w:autoSpaceDE w:val="0"/>
        <w:autoSpaceDN w:val="0"/>
        <w:adjustRightInd w:val="0"/>
        <w:spacing w:after="0" w:line="240" w:lineRule="auto"/>
        <w:jc w:val="both"/>
        <w:rPr>
          <w:rFonts w:ascii="Frutiger-Light" w:hAnsi="Frutiger-Light" w:cs="Frutiger-Light"/>
          <w:sz w:val="24"/>
          <w:szCs w:val="24"/>
          <w:lang w:val="es-CO"/>
        </w:rPr>
      </w:pPr>
    </w:p>
    <w:sectPr w:rsidR="00A269D1" w:rsidSect="008D159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BFE" w:rsidRDefault="00C01BFE" w:rsidP="00CC1F72">
      <w:pPr>
        <w:spacing w:after="0" w:line="240" w:lineRule="auto"/>
      </w:pPr>
      <w:r>
        <w:separator/>
      </w:r>
    </w:p>
  </w:endnote>
  <w:endnote w:type="continuationSeparator" w:id="1">
    <w:p w:rsidR="00C01BFE" w:rsidRDefault="00C01BFE" w:rsidP="00CC1F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Garamond-LightItalic">
    <w:panose1 w:val="00000000000000000000"/>
    <w:charset w:val="00"/>
    <w:family w:val="auto"/>
    <w:notTrueType/>
    <w:pitch w:val="default"/>
    <w:sig w:usb0="00000003" w:usb1="00000000" w:usb2="00000000" w:usb3="00000000" w:csb0="00000001" w:csb1="00000000"/>
  </w:font>
  <w:font w:name="Rotis SemiSans Std">
    <w:altName w:val="Rotis SemiSans St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BFE" w:rsidRDefault="00C01BFE" w:rsidP="00CC1F72">
      <w:pPr>
        <w:spacing w:after="0" w:line="240" w:lineRule="auto"/>
      </w:pPr>
      <w:r>
        <w:separator/>
      </w:r>
    </w:p>
  </w:footnote>
  <w:footnote w:type="continuationSeparator" w:id="1">
    <w:p w:rsidR="00C01BFE" w:rsidRDefault="00C01BFE" w:rsidP="00CC1F72">
      <w:pPr>
        <w:spacing w:after="0" w:line="240" w:lineRule="auto"/>
      </w:pPr>
      <w:r>
        <w:continuationSeparator/>
      </w:r>
    </w:p>
  </w:footnote>
  <w:footnote w:id="2">
    <w:p w:rsidR="00CC1F72" w:rsidRDefault="00CC1F72" w:rsidP="00CC1F72">
      <w:pPr>
        <w:pStyle w:val="Textonotaalfinal"/>
        <w:rPr>
          <w:rFonts w:ascii="Trebuchet MS" w:hAnsi="Trebuchet MS"/>
        </w:rPr>
      </w:pPr>
      <w:r>
        <w:rPr>
          <w:rStyle w:val="Refdenotaalpie"/>
        </w:rPr>
        <w:footnoteRef/>
      </w:r>
      <w:r>
        <w:t xml:space="preserve"> </w:t>
      </w:r>
      <w:r>
        <w:rPr>
          <w:rFonts w:ascii="Trebuchet MS" w:hAnsi="Trebuchet MS"/>
        </w:rPr>
        <w:t>Residente de Pediatría. Universidad Libre Seccional Cali, Colombia. Fundación Clínica Infantil Club Noel.</w:t>
      </w:r>
    </w:p>
  </w:footnote>
  <w:footnote w:id="3">
    <w:p w:rsidR="00CC1F72" w:rsidRDefault="00CC1F72" w:rsidP="00CC1F72">
      <w:pPr>
        <w:pStyle w:val="Textonotapie"/>
      </w:pPr>
      <w:r>
        <w:rPr>
          <w:rStyle w:val="Refdenotaalpie"/>
        </w:rPr>
        <w:footnoteRef/>
      </w:r>
      <w:r>
        <w:t xml:space="preserve"> </w:t>
      </w:r>
      <w:r>
        <w:rPr>
          <w:rFonts w:ascii="Trebuchet MS" w:hAnsi="Trebuchet MS"/>
        </w:rPr>
        <w:t>Estudiante del Programa de Medicina. Universidad Libre Seccional Cali, Colombia.</w:t>
      </w:r>
    </w:p>
  </w:footnote>
  <w:footnote w:id="4">
    <w:p w:rsidR="00CC1F72" w:rsidRDefault="00CC1F72" w:rsidP="00CC1F72">
      <w:pPr>
        <w:pStyle w:val="Textonotapie"/>
      </w:pPr>
      <w:r>
        <w:rPr>
          <w:rStyle w:val="Refdenotaalpie"/>
        </w:rPr>
        <w:footnoteRef/>
      </w:r>
      <w:r>
        <w:t xml:space="preserve"> </w:t>
      </w:r>
      <w:r>
        <w:rPr>
          <w:rFonts w:ascii="Trebuchet MS" w:hAnsi="Trebuchet MS"/>
        </w:rPr>
        <w:t>Estudiante del Programa de Medicina. Universidad Libre Seccional Cali, Colombia.</w:t>
      </w:r>
    </w:p>
  </w:footnote>
  <w:footnote w:id="5">
    <w:p w:rsidR="00CC1F72" w:rsidRDefault="00CC1F72" w:rsidP="00CC1F72">
      <w:pPr>
        <w:pStyle w:val="Textonotaalfinal"/>
        <w:rPr>
          <w:rFonts w:ascii="Trebuchet MS" w:hAnsi="Trebuchet MS"/>
        </w:rPr>
      </w:pPr>
      <w:r>
        <w:rPr>
          <w:rStyle w:val="Refdenotaalpie"/>
        </w:rPr>
        <w:footnoteRef/>
      </w:r>
      <w:r>
        <w:t xml:space="preserve"> </w:t>
      </w:r>
      <w:r>
        <w:rPr>
          <w:rFonts w:ascii="Trebuchet MS" w:hAnsi="Trebuchet MS"/>
        </w:rPr>
        <w:t>Dermatólogo Pediatra.</w:t>
      </w:r>
      <w:r w:rsidR="00E85541">
        <w:rPr>
          <w:rFonts w:ascii="Trebuchet MS" w:hAnsi="Trebuchet MS"/>
        </w:rPr>
        <w:t xml:space="preserve">  Profesor Dermatología Pediátrica</w:t>
      </w:r>
      <w:r>
        <w:rPr>
          <w:rFonts w:ascii="Trebuchet MS" w:hAnsi="Trebuchet MS"/>
        </w:rPr>
        <w:t xml:space="preserve"> Universidad Libre Seccional Cali, Colombia. Fundación Clínica Infantil Club Noel.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art207C"/>
      </v:shape>
    </w:pict>
  </w:numPicBullet>
  <w:abstractNum w:abstractNumId="0">
    <w:nsid w:val="0E40658A"/>
    <w:multiLevelType w:val="hybridMultilevel"/>
    <w:tmpl w:val="47026522"/>
    <w:lvl w:ilvl="0" w:tplc="601EEEB2">
      <w:start w:val="1"/>
      <w:numFmt w:val="bullet"/>
      <w:lvlText w:val=""/>
      <w:lvlPicBulletId w:val="0"/>
      <w:lvlJc w:val="left"/>
      <w:pPr>
        <w:tabs>
          <w:tab w:val="num" w:pos="720"/>
        </w:tabs>
        <w:ind w:left="720" w:hanging="360"/>
      </w:pPr>
      <w:rPr>
        <w:rFonts w:ascii="Symbol" w:hAnsi="Symbol" w:hint="default"/>
      </w:rPr>
    </w:lvl>
    <w:lvl w:ilvl="1" w:tplc="C0B69BE6" w:tentative="1">
      <w:start w:val="1"/>
      <w:numFmt w:val="bullet"/>
      <w:lvlText w:val=""/>
      <w:lvlPicBulletId w:val="0"/>
      <w:lvlJc w:val="left"/>
      <w:pPr>
        <w:tabs>
          <w:tab w:val="num" w:pos="1440"/>
        </w:tabs>
        <w:ind w:left="1440" w:hanging="360"/>
      </w:pPr>
      <w:rPr>
        <w:rFonts w:ascii="Symbol" w:hAnsi="Symbol" w:hint="default"/>
      </w:rPr>
    </w:lvl>
    <w:lvl w:ilvl="2" w:tplc="63B0C8E8" w:tentative="1">
      <w:start w:val="1"/>
      <w:numFmt w:val="bullet"/>
      <w:lvlText w:val=""/>
      <w:lvlPicBulletId w:val="0"/>
      <w:lvlJc w:val="left"/>
      <w:pPr>
        <w:tabs>
          <w:tab w:val="num" w:pos="2160"/>
        </w:tabs>
        <w:ind w:left="2160" w:hanging="360"/>
      </w:pPr>
      <w:rPr>
        <w:rFonts w:ascii="Symbol" w:hAnsi="Symbol" w:hint="default"/>
      </w:rPr>
    </w:lvl>
    <w:lvl w:ilvl="3" w:tplc="FF923DA8" w:tentative="1">
      <w:start w:val="1"/>
      <w:numFmt w:val="bullet"/>
      <w:lvlText w:val=""/>
      <w:lvlPicBulletId w:val="0"/>
      <w:lvlJc w:val="left"/>
      <w:pPr>
        <w:tabs>
          <w:tab w:val="num" w:pos="2880"/>
        </w:tabs>
        <w:ind w:left="2880" w:hanging="360"/>
      </w:pPr>
      <w:rPr>
        <w:rFonts w:ascii="Symbol" w:hAnsi="Symbol" w:hint="default"/>
      </w:rPr>
    </w:lvl>
    <w:lvl w:ilvl="4" w:tplc="E110CF9E" w:tentative="1">
      <w:start w:val="1"/>
      <w:numFmt w:val="bullet"/>
      <w:lvlText w:val=""/>
      <w:lvlPicBulletId w:val="0"/>
      <w:lvlJc w:val="left"/>
      <w:pPr>
        <w:tabs>
          <w:tab w:val="num" w:pos="3600"/>
        </w:tabs>
        <w:ind w:left="3600" w:hanging="360"/>
      </w:pPr>
      <w:rPr>
        <w:rFonts w:ascii="Symbol" w:hAnsi="Symbol" w:hint="default"/>
      </w:rPr>
    </w:lvl>
    <w:lvl w:ilvl="5" w:tplc="81B44A20" w:tentative="1">
      <w:start w:val="1"/>
      <w:numFmt w:val="bullet"/>
      <w:lvlText w:val=""/>
      <w:lvlPicBulletId w:val="0"/>
      <w:lvlJc w:val="left"/>
      <w:pPr>
        <w:tabs>
          <w:tab w:val="num" w:pos="4320"/>
        </w:tabs>
        <w:ind w:left="4320" w:hanging="360"/>
      </w:pPr>
      <w:rPr>
        <w:rFonts w:ascii="Symbol" w:hAnsi="Symbol" w:hint="default"/>
      </w:rPr>
    </w:lvl>
    <w:lvl w:ilvl="6" w:tplc="13306506" w:tentative="1">
      <w:start w:val="1"/>
      <w:numFmt w:val="bullet"/>
      <w:lvlText w:val=""/>
      <w:lvlPicBulletId w:val="0"/>
      <w:lvlJc w:val="left"/>
      <w:pPr>
        <w:tabs>
          <w:tab w:val="num" w:pos="5040"/>
        </w:tabs>
        <w:ind w:left="5040" w:hanging="360"/>
      </w:pPr>
      <w:rPr>
        <w:rFonts w:ascii="Symbol" w:hAnsi="Symbol" w:hint="default"/>
      </w:rPr>
    </w:lvl>
    <w:lvl w:ilvl="7" w:tplc="150CC6AA" w:tentative="1">
      <w:start w:val="1"/>
      <w:numFmt w:val="bullet"/>
      <w:lvlText w:val=""/>
      <w:lvlPicBulletId w:val="0"/>
      <w:lvlJc w:val="left"/>
      <w:pPr>
        <w:tabs>
          <w:tab w:val="num" w:pos="5760"/>
        </w:tabs>
        <w:ind w:left="5760" w:hanging="360"/>
      </w:pPr>
      <w:rPr>
        <w:rFonts w:ascii="Symbol" w:hAnsi="Symbol" w:hint="default"/>
      </w:rPr>
    </w:lvl>
    <w:lvl w:ilvl="8" w:tplc="DD5E065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200F1E9A"/>
    <w:multiLevelType w:val="hybridMultilevel"/>
    <w:tmpl w:val="4DF88B6C"/>
    <w:lvl w:ilvl="0" w:tplc="4FB2E44E">
      <w:start w:val="1"/>
      <w:numFmt w:val="bullet"/>
      <w:lvlText w:val=""/>
      <w:lvlPicBulletId w:val="0"/>
      <w:lvlJc w:val="left"/>
      <w:pPr>
        <w:tabs>
          <w:tab w:val="num" w:pos="720"/>
        </w:tabs>
        <w:ind w:left="720" w:hanging="360"/>
      </w:pPr>
      <w:rPr>
        <w:rFonts w:ascii="Symbol" w:hAnsi="Symbol" w:hint="default"/>
      </w:rPr>
    </w:lvl>
    <w:lvl w:ilvl="1" w:tplc="0E52AC84" w:tentative="1">
      <w:start w:val="1"/>
      <w:numFmt w:val="bullet"/>
      <w:lvlText w:val=""/>
      <w:lvlPicBulletId w:val="0"/>
      <w:lvlJc w:val="left"/>
      <w:pPr>
        <w:tabs>
          <w:tab w:val="num" w:pos="1440"/>
        </w:tabs>
        <w:ind w:left="1440" w:hanging="360"/>
      </w:pPr>
      <w:rPr>
        <w:rFonts w:ascii="Symbol" w:hAnsi="Symbol" w:hint="default"/>
      </w:rPr>
    </w:lvl>
    <w:lvl w:ilvl="2" w:tplc="B11C200E" w:tentative="1">
      <w:start w:val="1"/>
      <w:numFmt w:val="bullet"/>
      <w:lvlText w:val=""/>
      <w:lvlPicBulletId w:val="0"/>
      <w:lvlJc w:val="left"/>
      <w:pPr>
        <w:tabs>
          <w:tab w:val="num" w:pos="2160"/>
        </w:tabs>
        <w:ind w:left="2160" w:hanging="360"/>
      </w:pPr>
      <w:rPr>
        <w:rFonts w:ascii="Symbol" w:hAnsi="Symbol" w:hint="default"/>
      </w:rPr>
    </w:lvl>
    <w:lvl w:ilvl="3" w:tplc="021E97E2" w:tentative="1">
      <w:start w:val="1"/>
      <w:numFmt w:val="bullet"/>
      <w:lvlText w:val=""/>
      <w:lvlPicBulletId w:val="0"/>
      <w:lvlJc w:val="left"/>
      <w:pPr>
        <w:tabs>
          <w:tab w:val="num" w:pos="2880"/>
        </w:tabs>
        <w:ind w:left="2880" w:hanging="360"/>
      </w:pPr>
      <w:rPr>
        <w:rFonts w:ascii="Symbol" w:hAnsi="Symbol" w:hint="default"/>
      </w:rPr>
    </w:lvl>
    <w:lvl w:ilvl="4" w:tplc="60DA0816" w:tentative="1">
      <w:start w:val="1"/>
      <w:numFmt w:val="bullet"/>
      <w:lvlText w:val=""/>
      <w:lvlPicBulletId w:val="0"/>
      <w:lvlJc w:val="left"/>
      <w:pPr>
        <w:tabs>
          <w:tab w:val="num" w:pos="3600"/>
        </w:tabs>
        <w:ind w:left="3600" w:hanging="360"/>
      </w:pPr>
      <w:rPr>
        <w:rFonts w:ascii="Symbol" w:hAnsi="Symbol" w:hint="default"/>
      </w:rPr>
    </w:lvl>
    <w:lvl w:ilvl="5" w:tplc="9AE83122" w:tentative="1">
      <w:start w:val="1"/>
      <w:numFmt w:val="bullet"/>
      <w:lvlText w:val=""/>
      <w:lvlPicBulletId w:val="0"/>
      <w:lvlJc w:val="left"/>
      <w:pPr>
        <w:tabs>
          <w:tab w:val="num" w:pos="4320"/>
        </w:tabs>
        <w:ind w:left="4320" w:hanging="360"/>
      </w:pPr>
      <w:rPr>
        <w:rFonts w:ascii="Symbol" w:hAnsi="Symbol" w:hint="default"/>
      </w:rPr>
    </w:lvl>
    <w:lvl w:ilvl="6" w:tplc="58A2B65E" w:tentative="1">
      <w:start w:val="1"/>
      <w:numFmt w:val="bullet"/>
      <w:lvlText w:val=""/>
      <w:lvlPicBulletId w:val="0"/>
      <w:lvlJc w:val="left"/>
      <w:pPr>
        <w:tabs>
          <w:tab w:val="num" w:pos="5040"/>
        </w:tabs>
        <w:ind w:left="5040" w:hanging="360"/>
      </w:pPr>
      <w:rPr>
        <w:rFonts w:ascii="Symbol" w:hAnsi="Symbol" w:hint="default"/>
      </w:rPr>
    </w:lvl>
    <w:lvl w:ilvl="7" w:tplc="D37E3A80" w:tentative="1">
      <w:start w:val="1"/>
      <w:numFmt w:val="bullet"/>
      <w:lvlText w:val=""/>
      <w:lvlPicBulletId w:val="0"/>
      <w:lvlJc w:val="left"/>
      <w:pPr>
        <w:tabs>
          <w:tab w:val="num" w:pos="5760"/>
        </w:tabs>
        <w:ind w:left="5760" w:hanging="360"/>
      </w:pPr>
      <w:rPr>
        <w:rFonts w:ascii="Symbol" w:hAnsi="Symbol" w:hint="default"/>
      </w:rPr>
    </w:lvl>
    <w:lvl w:ilvl="8" w:tplc="D292C27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0D074E9"/>
    <w:multiLevelType w:val="hybridMultilevel"/>
    <w:tmpl w:val="A1801226"/>
    <w:lvl w:ilvl="0" w:tplc="8B6ACD9E">
      <w:start w:val="1"/>
      <w:numFmt w:val="bullet"/>
      <w:lvlText w:val=""/>
      <w:lvlPicBulletId w:val="0"/>
      <w:lvlJc w:val="left"/>
      <w:pPr>
        <w:tabs>
          <w:tab w:val="num" w:pos="720"/>
        </w:tabs>
        <w:ind w:left="720" w:hanging="360"/>
      </w:pPr>
      <w:rPr>
        <w:rFonts w:ascii="Symbol" w:hAnsi="Symbol" w:hint="default"/>
      </w:rPr>
    </w:lvl>
    <w:lvl w:ilvl="1" w:tplc="DAEE95FA" w:tentative="1">
      <w:start w:val="1"/>
      <w:numFmt w:val="bullet"/>
      <w:lvlText w:val=""/>
      <w:lvlPicBulletId w:val="0"/>
      <w:lvlJc w:val="left"/>
      <w:pPr>
        <w:tabs>
          <w:tab w:val="num" w:pos="1440"/>
        </w:tabs>
        <w:ind w:left="1440" w:hanging="360"/>
      </w:pPr>
      <w:rPr>
        <w:rFonts w:ascii="Symbol" w:hAnsi="Symbol" w:hint="default"/>
      </w:rPr>
    </w:lvl>
    <w:lvl w:ilvl="2" w:tplc="2DC43A3E" w:tentative="1">
      <w:start w:val="1"/>
      <w:numFmt w:val="bullet"/>
      <w:lvlText w:val=""/>
      <w:lvlPicBulletId w:val="0"/>
      <w:lvlJc w:val="left"/>
      <w:pPr>
        <w:tabs>
          <w:tab w:val="num" w:pos="2160"/>
        </w:tabs>
        <w:ind w:left="2160" w:hanging="360"/>
      </w:pPr>
      <w:rPr>
        <w:rFonts w:ascii="Symbol" w:hAnsi="Symbol" w:hint="default"/>
      </w:rPr>
    </w:lvl>
    <w:lvl w:ilvl="3" w:tplc="B0DA1510" w:tentative="1">
      <w:start w:val="1"/>
      <w:numFmt w:val="bullet"/>
      <w:lvlText w:val=""/>
      <w:lvlPicBulletId w:val="0"/>
      <w:lvlJc w:val="left"/>
      <w:pPr>
        <w:tabs>
          <w:tab w:val="num" w:pos="2880"/>
        </w:tabs>
        <w:ind w:left="2880" w:hanging="360"/>
      </w:pPr>
      <w:rPr>
        <w:rFonts w:ascii="Symbol" w:hAnsi="Symbol" w:hint="default"/>
      </w:rPr>
    </w:lvl>
    <w:lvl w:ilvl="4" w:tplc="86C0F9E4" w:tentative="1">
      <w:start w:val="1"/>
      <w:numFmt w:val="bullet"/>
      <w:lvlText w:val=""/>
      <w:lvlPicBulletId w:val="0"/>
      <w:lvlJc w:val="left"/>
      <w:pPr>
        <w:tabs>
          <w:tab w:val="num" w:pos="3600"/>
        </w:tabs>
        <w:ind w:left="3600" w:hanging="360"/>
      </w:pPr>
      <w:rPr>
        <w:rFonts w:ascii="Symbol" w:hAnsi="Symbol" w:hint="default"/>
      </w:rPr>
    </w:lvl>
    <w:lvl w:ilvl="5" w:tplc="6A0817D4" w:tentative="1">
      <w:start w:val="1"/>
      <w:numFmt w:val="bullet"/>
      <w:lvlText w:val=""/>
      <w:lvlPicBulletId w:val="0"/>
      <w:lvlJc w:val="left"/>
      <w:pPr>
        <w:tabs>
          <w:tab w:val="num" w:pos="4320"/>
        </w:tabs>
        <w:ind w:left="4320" w:hanging="360"/>
      </w:pPr>
      <w:rPr>
        <w:rFonts w:ascii="Symbol" w:hAnsi="Symbol" w:hint="default"/>
      </w:rPr>
    </w:lvl>
    <w:lvl w:ilvl="6" w:tplc="6284E882" w:tentative="1">
      <w:start w:val="1"/>
      <w:numFmt w:val="bullet"/>
      <w:lvlText w:val=""/>
      <w:lvlPicBulletId w:val="0"/>
      <w:lvlJc w:val="left"/>
      <w:pPr>
        <w:tabs>
          <w:tab w:val="num" w:pos="5040"/>
        </w:tabs>
        <w:ind w:left="5040" w:hanging="360"/>
      </w:pPr>
      <w:rPr>
        <w:rFonts w:ascii="Symbol" w:hAnsi="Symbol" w:hint="default"/>
      </w:rPr>
    </w:lvl>
    <w:lvl w:ilvl="7" w:tplc="47D6632A" w:tentative="1">
      <w:start w:val="1"/>
      <w:numFmt w:val="bullet"/>
      <w:lvlText w:val=""/>
      <w:lvlPicBulletId w:val="0"/>
      <w:lvlJc w:val="left"/>
      <w:pPr>
        <w:tabs>
          <w:tab w:val="num" w:pos="5760"/>
        </w:tabs>
        <w:ind w:left="5760" w:hanging="360"/>
      </w:pPr>
      <w:rPr>
        <w:rFonts w:ascii="Symbol" w:hAnsi="Symbol" w:hint="default"/>
      </w:rPr>
    </w:lvl>
    <w:lvl w:ilvl="8" w:tplc="9766A38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2606547"/>
    <w:multiLevelType w:val="hybridMultilevel"/>
    <w:tmpl w:val="40C889BC"/>
    <w:lvl w:ilvl="0" w:tplc="678CBD2C">
      <w:start w:val="1"/>
      <w:numFmt w:val="bullet"/>
      <w:lvlText w:val=""/>
      <w:lvlPicBulletId w:val="0"/>
      <w:lvlJc w:val="left"/>
      <w:pPr>
        <w:tabs>
          <w:tab w:val="num" w:pos="720"/>
        </w:tabs>
        <w:ind w:left="720" w:hanging="360"/>
      </w:pPr>
      <w:rPr>
        <w:rFonts w:ascii="Symbol" w:hAnsi="Symbol" w:hint="default"/>
      </w:rPr>
    </w:lvl>
    <w:lvl w:ilvl="1" w:tplc="C15A4B64" w:tentative="1">
      <w:start w:val="1"/>
      <w:numFmt w:val="bullet"/>
      <w:lvlText w:val=""/>
      <w:lvlPicBulletId w:val="0"/>
      <w:lvlJc w:val="left"/>
      <w:pPr>
        <w:tabs>
          <w:tab w:val="num" w:pos="1440"/>
        </w:tabs>
        <w:ind w:left="1440" w:hanging="360"/>
      </w:pPr>
      <w:rPr>
        <w:rFonts w:ascii="Symbol" w:hAnsi="Symbol" w:hint="default"/>
      </w:rPr>
    </w:lvl>
    <w:lvl w:ilvl="2" w:tplc="996667FC" w:tentative="1">
      <w:start w:val="1"/>
      <w:numFmt w:val="bullet"/>
      <w:lvlText w:val=""/>
      <w:lvlPicBulletId w:val="0"/>
      <w:lvlJc w:val="left"/>
      <w:pPr>
        <w:tabs>
          <w:tab w:val="num" w:pos="2160"/>
        </w:tabs>
        <w:ind w:left="2160" w:hanging="360"/>
      </w:pPr>
      <w:rPr>
        <w:rFonts w:ascii="Symbol" w:hAnsi="Symbol" w:hint="default"/>
      </w:rPr>
    </w:lvl>
    <w:lvl w:ilvl="3" w:tplc="C73A72A6" w:tentative="1">
      <w:start w:val="1"/>
      <w:numFmt w:val="bullet"/>
      <w:lvlText w:val=""/>
      <w:lvlPicBulletId w:val="0"/>
      <w:lvlJc w:val="left"/>
      <w:pPr>
        <w:tabs>
          <w:tab w:val="num" w:pos="2880"/>
        </w:tabs>
        <w:ind w:left="2880" w:hanging="360"/>
      </w:pPr>
      <w:rPr>
        <w:rFonts w:ascii="Symbol" w:hAnsi="Symbol" w:hint="default"/>
      </w:rPr>
    </w:lvl>
    <w:lvl w:ilvl="4" w:tplc="D138E9AE" w:tentative="1">
      <w:start w:val="1"/>
      <w:numFmt w:val="bullet"/>
      <w:lvlText w:val=""/>
      <w:lvlPicBulletId w:val="0"/>
      <w:lvlJc w:val="left"/>
      <w:pPr>
        <w:tabs>
          <w:tab w:val="num" w:pos="3600"/>
        </w:tabs>
        <w:ind w:left="3600" w:hanging="360"/>
      </w:pPr>
      <w:rPr>
        <w:rFonts w:ascii="Symbol" w:hAnsi="Symbol" w:hint="default"/>
      </w:rPr>
    </w:lvl>
    <w:lvl w:ilvl="5" w:tplc="37C29D5E" w:tentative="1">
      <w:start w:val="1"/>
      <w:numFmt w:val="bullet"/>
      <w:lvlText w:val=""/>
      <w:lvlPicBulletId w:val="0"/>
      <w:lvlJc w:val="left"/>
      <w:pPr>
        <w:tabs>
          <w:tab w:val="num" w:pos="4320"/>
        </w:tabs>
        <w:ind w:left="4320" w:hanging="360"/>
      </w:pPr>
      <w:rPr>
        <w:rFonts w:ascii="Symbol" w:hAnsi="Symbol" w:hint="default"/>
      </w:rPr>
    </w:lvl>
    <w:lvl w:ilvl="6" w:tplc="C92E9DAE" w:tentative="1">
      <w:start w:val="1"/>
      <w:numFmt w:val="bullet"/>
      <w:lvlText w:val=""/>
      <w:lvlPicBulletId w:val="0"/>
      <w:lvlJc w:val="left"/>
      <w:pPr>
        <w:tabs>
          <w:tab w:val="num" w:pos="5040"/>
        </w:tabs>
        <w:ind w:left="5040" w:hanging="360"/>
      </w:pPr>
      <w:rPr>
        <w:rFonts w:ascii="Symbol" w:hAnsi="Symbol" w:hint="default"/>
      </w:rPr>
    </w:lvl>
    <w:lvl w:ilvl="7" w:tplc="946EB86A" w:tentative="1">
      <w:start w:val="1"/>
      <w:numFmt w:val="bullet"/>
      <w:lvlText w:val=""/>
      <w:lvlPicBulletId w:val="0"/>
      <w:lvlJc w:val="left"/>
      <w:pPr>
        <w:tabs>
          <w:tab w:val="num" w:pos="5760"/>
        </w:tabs>
        <w:ind w:left="5760" w:hanging="360"/>
      </w:pPr>
      <w:rPr>
        <w:rFonts w:ascii="Symbol" w:hAnsi="Symbol" w:hint="default"/>
      </w:rPr>
    </w:lvl>
    <w:lvl w:ilvl="8" w:tplc="356867F0"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4B832AC5"/>
    <w:multiLevelType w:val="hybridMultilevel"/>
    <w:tmpl w:val="19A2C816"/>
    <w:lvl w:ilvl="0" w:tplc="ADDC5B92">
      <w:start w:val="1"/>
      <w:numFmt w:val="bullet"/>
      <w:lvlText w:val=""/>
      <w:lvlPicBulletId w:val="0"/>
      <w:lvlJc w:val="left"/>
      <w:pPr>
        <w:tabs>
          <w:tab w:val="num" w:pos="720"/>
        </w:tabs>
        <w:ind w:left="720" w:hanging="360"/>
      </w:pPr>
      <w:rPr>
        <w:rFonts w:ascii="Symbol" w:hAnsi="Symbol" w:hint="default"/>
      </w:rPr>
    </w:lvl>
    <w:lvl w:ilvl="1" w:tplc="788615AA" w:tentative="1">
      <w:start w:val="1"/>
      <w:numFmt w:val="bullet"/>
      <w:lvlText w:val=""/>
      <w:lvlPicBulletId w:val="0"/>
      <w:lvlJc w:val="left"/>
      <w:pPr>
        <w:tabs>
          <w:tab w:val="num" w:pos="1440"/>
        </w:tabs>
        <w:ind w:left="1440" w:hanging="360"/>
      </w:pPr>
      <w:rPr>
        <w:rFonts w:ascii="Symbol" w:hAnsi="Symbol" w:hint="default"/>
      </w:rPr>
    </w:lvl>
    <w:lvl w:ilvl="2" w:tplc="7EB41F9C" w:tentative="1">
      <w:start w:val="1"/>
      <w:numFmt w:val="bullet"/>
      <w:lvlText w:val=""/>
      <w:lvlPicBulletId w:val="0"/>
      <w:lvlJc w:val="left"/>
      <w:pPr>
        <w:tabs>
          <w:tab w:val="num" w:pos="2160"/>
        </w:tabs>
        <w:ind w:left="2160" w:hanging="360"/>
      </w:pPr>
      <w:rPr>
        <w:rFonts w:ascii="Symbol" w:hAnsi="Symbol" w:hint="default"/>
      </w:rPr>
    </w:lvl>
    <w:lvl w:ilvl="3" w:tplc="28641102" w:tentative="1">
      <w:start w:val="1"/>
      <w:numFmt w:val="bullet"/>
      <w:lvlText w:val=""/>
      <w:lvlPicBulletId w:val="0"/>
      <w:lvlJc w:val="left"/>
      <w:pPr>
        <w:tabs>
          <w:tab w:val="num" w:pos="2880"/>
        </w:tabs>
        <w:ind w:left="2880" w:hanging="360"/>
      </w:pPr>
      <w:rPr>
        <w:rFonts w:ascii="Symbol" w:hAnsi="Symbol" w:hint="default"/>
      </w:rPr>
    </w:lvl>
    <w:lvl w:ilvl="4" w:tplc="C1080258" w:tentative="1">
      <w:start w:val="1"/>
      <w:numFmt w:val="bullet"/>
      <w:lvlText w:val=""/>
      <w:lvlPicBulletId w:val="0"/>
      <w:lvlJc w:val="left"/>
      <w:pPr>
        <w:tabs>
          <w:tab w:val="num" w:pos="3600"/>
        </w:tabs>
        <w:ind w:left="3600" w:hanging="360"/>
      </w:pPr>
      <w:rPr>
        <w:rFonts w:ascii="Symbol" w:hAnsi="Symbol" w:hint="default"/>
      </w:rPr>
    </w:lvl>
    <w:lvl w:ilvl="5" w:tplc="2D6E4270" w:tentative="1">
      <w:start w:val="1"/>
      <w:numFmt w:val="bullet"/>
      <w:lvlText w:val=""/>
      <w:lvlPicBulletId w:val="0"/>
      <w:lvlJc w:val="left"/>
      <w:pPr>
        <w:tabs>
          <w:tab w:val="num" w:pos="4320"/>
        </w:tabs>
        <w:ind w:left="4320" w:hanging="360"/>
      </w:pPr>
      <w:rPr>
        <w:rFonts w:ascii="Symbol" w:hAnsi="Symbol" w:hint="default"/>
      </w:rPr>
    </w:lvl>
    <w:lvl w:ilvl="6" w:tplc="2BD04FB0" w:tentative="1">
      <w:start w:val="1"/>
      <w:numFmt w:val="bullet"/>
      <w:lvlText w:val=""/>
      <w:lvlPicBulletId w:val="0"/>
      <w:lvlJc w:val="left"/>
      <w:pPr>
        <w:tabs>
          <w:tab w:val="num" w:pos="5040"/>
        </w:tabs>
        <w:ind w:left="5040" w:hanging="360"/>
      </w:pPr>
      <w:rPr>
        <w:rFonts w:ascii="Symbol" w:hAnsi="Symbol" w:hint="default"/>
      </w:rPr>
    </w:lvl>
    <w:lvl w:ilvl="7" w:tplc="A2F653DE" w:tentative="1">
      <w:start w:val="1"/>
      <w:numFmt w:val="bullet"/>
      <w:lvlText w:val=""/>
      <w:lvlPicBulletId w:val="0"/>
      <w:lvlJc w:val="left"/>
      <w:pPr>
        <w:tabs>
          <w:tab w:val="num" w:pos="5760"/>
        </w:tabs>
        <w:ind w:left="5760" w:hanging="360"/>
      </w:pPr>
      <w:rPr>
        <w:rFonts w:ascii="Symbol" w:hAnsi="Symbol" w:hint="default"/>
      </w:rPr>
    </w:lvl>
    <w:lvl w:ilvl="8" w:tplc="FB2C69D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5B41132E"/>
    <w:multiLevelType w:val="hybridMultilevel"/>
    <w:tmpl w:val="0DDAD9CE"/>
    <w:lvl w:ilvl="0" w:tplc="470C12B0">
      <w:start w:val="1"/>
      <w:numFmt w:val="bullet"/>
      <w:lvlText w:val=""/>
      <w:lvlPicBulletId w:val="0"/>
      <w:lvlJc w:val="left"/>
      <w:pPr>
        <w:tabs>
          <w:tab w:val="num" w:pos="720"/>
        </w:tabs>
        <w:ind w:left="720" w:hanging="360"/>
      </w:pPr>
      <w:rPr>
        <w:rFonts w:ascii="Symbol" w:hAnsi="Symbol" w:hint="default"/>
      </w:rPr>
    </w:lvl>
    <w:lvl w:ilvl="1" w:tplc="34AC0EF0" w:tentative="1">
      <w:start w:val="1"/>
      <w:numFmt w:val="bullet"/>
      <w:lvlText w:val=""/>
      <w:lvlPicBulletId w:val="0"/>
      <w:lvlJc w:val="left"/>
      <w:pPr>
        <w:tabs>
          <w:tab w:val="num" w:pos="1440"/>
        </w:tabs>
        <w:ind w:left="1440" w:hanging="360"/>
      </w:pPr>
      <w:rPr>
        <w:rFonts w:ascii="Symbol" w:hAnsi="Symbol" w:hint="default"/>
      </w:rPr>
    </w:lvl>
    <w:lvl w:ilvl="2" w:tplc="5D7CDC82" w:tentative="1">
      <w:start w:val="1"/>
      <w:numFmt w:val="bullet"/>
      <w:lvlText w:val=""/>
      <w:lvlPicBulletId w:val="0"/>
      <w:lvlJc w:val="left"/>
      <w:pPr>
        <w:tabs>
          <w:tab w:val="num" w:pos="2160"/>
        </w:tabs>
        <w:ind w:left="2160" w:hanging="360"/>
      </w:pPr>
      <w:rPr>
        <w:rFonts w:ascii="Symbol" w:hAnsi="Symbol" w:hint="default"/>
      </w:rPr>
    </w:lvl>
    <w:lvl w:ilvl="3" w:tplc="17E63D5A" w:tentative="1">
      <w:start w:val="1"/>
      <w:numFmt w:val="bullet"/>
      <w:lvlText w:val=""/>
      <w:lvlPicBulletId w:val="0"/>
      <w:lvlJc w:val="left"/>
      <w:pPr>
        <w:tabs>
          <w:tab w:val="num" w:pos="2880"/>
        </w:tabs>
        <w:ind w:left="2880" w:hanging="360"/>
      </w:pPr>
      <w:rPr>
        <w:rFonts w:ascii="Symbol" w:hAnsi="Symbol" w:hint="default"/>
      </w:rPr>
    </w:lvl>
    <w:lvl w:ilvl="4" w:tplc="21CCFAE2" w:tentative="1">
      <w:start w:val="1"/>
      <w:numFmt w:val="bullet"/>
      <w:lvlText w:val=""/>
      <w:lvlPicBulletId w:val="0"/>
      <w:lvlJc w:val="left"/>
      <w:pPr>
        <w:tabs>
          <w:tab w:val="num" w:pos="3600"/>
        </w:tabs>
        <w:ind w:left="3600" w:hanging="360"/>
      </w:pPr>
      <w:rPr>
        <w:rFonts w:ascii="Symbol" w:hAnsi="Symbol" w:hint="default"/>
      </w:rPr>
    </w:lvl>
    <w:lvl w:ilvl="5" w:tplc="61E6106E" w:tentative="1">
      <w:start w:val="1"/>
      <w:numFmt w:val="bullet"/>
      <w:lvlText w:val=""/>
      <w:lvlPicBulletId w:val="0"/>
      <w:lvlJc w:val="left"/>
      <w:pPr>
        <w:tabs>
          <w:tab w:val="num" w:pos="4320"/>
        </w:tabs>
        <w:ind w:left="4320" w:hanging="360"/>
      </w:pPr>
      <w:rPr>
        <w:rFonts w:ascii="Symbol" w:hAnsi="Symbol" w:hint="default"/>
      </w:rPr>
    </w:lvl>
    <w:lvl w:ilvl="6" w:tplc="CB42618A" w:tentative="1">
      <w:start w:val="1"/>
      <w:numFmt w:val="bullet"/>
      <w:lvlText w:val=""/>
      <w:lvlPicBulletId w:val="0"/>
      <w:lvlJc w:val="left"/>
      <w:pPr>
        <w:tabs>
          <w:tab w:val="num" w:pos="5040"/>
        </w:tabs>
        <w:ind w:left="5040" w:hanging="360"/>
      </w:pPr>
      <w:rPr>
        <w:rFonts w:ascii="Symbol" w:hAnsi="Symbol" w:hint="default"/>
      </w:rPr>
    </w:lvl>
    <w:lvl w:ilvl="7" w:tplc="86561DE6" w:tentative="1">
      <w:start w:val="1"/>
      <w:numFmt w:val="bullet"/>
      <w:lvlText w:val=""/>
      <w:lvlPicBulletId w:val="0"/>
      <w:lvlJc w:val="left"/>
      <w:pPr>
        <w:tabs>
          <w:tab w:val="num" w:pos="5760"/>
        </w:tabs>
        <w:ind w:left="5760" w:hanging="360"/>
      </w:pPr>
      <w:rPr>
        <w:rFonts w:ascii="Symbol" w:hAnsi="Symbol" w:hint="default"/>
      </w:rPr>
    </w:lvl>
    <w:lvl w:ilvl="8" w:tplc="7E68EDA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77FF4362"/>
    <w:multiLevelType w:val="hybridMultilevel"/>
    <w:tmpl w:val="E2C4040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7AB25455"/>
    <w:multiLevelType w:val="hybridMultilevel"/>
    <w:tmpl w:val="367CAAA2"/>
    <w:lvl w:ilvl="0" w:tplc="753C12CC">
      <w:start w:val="1"/>
      <w:numFmt w:val="bullet"/>
      <w:lvlText w:val="•"/>
      <w:lvlJc w:val="left"/>
      <w:pPr>
        <w:tabs>
          <w:tab w:val="num" w:pos="720"/>
        </w:tabs>
        <w:ind w:left="720" w:hanging="360"/>
      </w:pPr>
      <w:rPr>
        <w:rFonts w:ascii="Times New Roman" w:hAnsi="Times New Roman" w:hint="default"/>
      </w:rPr>
    </w:lvl>
    <w:lvl w:ilvl="1" w:tplc="7B420880" w:tentative="1">
      <w:start w:val="1"/>
      <w:numFmt w:val="bullet"/>
      <w:lvlText w:val="•"/>
      <w:lvlJc w:val="left"/>
      <w:pPr>
        <w:tabs>
          <w:tab w:val="num" w:pos="1440"/>
        </w:tabs>
        <w:ind w:left="1440" w:hanging="360"/>
      </w:pPr>
      <w:rPr>
        <w:rFonts w:ascii="Times New Roman" w:hAnsi="Times New Roman" w:hint="default"/>
      </w:rPr>
    </w:lvl>
    <w:lvl w:ilvl="2" w:tplc="8A7C4A6A" w:tentative="1">
      <w:start w:val="1"/>
      <w:numFmt w:val="bullet"/>
      <w:lvlText w:val="•"/>
      <w:lvlJc w:val="left"/>
      <w:pPr>
        <w:tabs>
          <w:tab w:val="num" w:pos="2160"/>
        </w:tabs>
        <w:ind w:left="2160" w:hanging="360"/>
      </w:pPr>
      <w:rPr>
        <w:rFonts w:ascii="Times New Roman" w:hAnsi="Times New Roman" w:hint="default"/>
      </w:rPr>
    </w:lvl>
    <w:lvl w:ilvl="3" w:tplc="2CECD6B6" w:tentative="1">
      <w:start w:val="1"/>
      <w:numFmt w:val="bullet"/>
      <w:lvlText w:val="•"/>
      <w:lvlJc w:val="left"/>
      <w:pPr>
        <w:tabs>
          <w:tab w:val="num" w:pos="2880"/>
        </w:tabs>
        <w:ind w:left="2880" w:hanging="360"/>
      </w:pPr>
      <w:rPr>
        <w:rFonts w:ascii="Times New Roman" w:hAnsi="Times New Roman" w:hint="default"/>
      </w:rPr>
    </w:lvl>
    <w:lvl w:ilvl="4" w:tplc="8F448776" w:tentative="1">
      <w:start w:val="1"/>
      <w:numFmt w:val="bullet"/>
      <w:lvlText w:val="•"/>
      <w:lvlJc w:val="left"/>
      <w:pPr>
        <w:tabs>
          <w:tab w:val="num" w:pos="3600"/>
        </w:tabs>
        <w:ind w:left="3600" w:hanging="360"/>
      </w:pPr>
      <w:rPr>
        <w:rFonts w:ascii="Times New Roman" w:hAnsi="Times New Roman" w:hint="default"/>
      </w:rPr>
    </w:lvl>
    <w:lvl w:ilvl="5" w:tplc="21EA6C34" w:tentative="1">
      <w:start w:val="1"/>
      <w:numFmt w:val="bullet"/>
      <w:lvlText w:val="•"/>
      <w:lvlJc w:val="left"/>
      <w:pPr>
        <w:tabs>
          <w:tab w:val="num" w:pos="4320"/>
        </w:tabs>
        <w:ind w:left="4320" w:hanging="360"/>
      </w:pPr>
      <w:rPr>
        <w:rFonts w:ascii="Times New Roman" w:hAnsi="Times New Roman" w:hint="default"/>
      </w:rPr>
    </w:lvl>
    <w:lvl w:ilvl="6" w:tplc="7A324D76" w:tentative="1">
      <w:start w:val="1"/>
      <w:numFmt w:val="bullet"/>
      <w:lvlText w:val="•"/>
      <w:lvlJc w:val="left"/>
      <w:pPr>
        <w:tabs>
          <w:tab w:val="num" w:pos="5040"/>
        </w:tabs>
        <w:ind w:left="5040" w:hanging="360"/>
      </w:pPr>
      <w:rPr>
        <w:rFonts w:ascii="Times New Roman" w:hAnsi="Times New Roman" w:hint="default"/>
      </w:rPr>
    </w:lvl>
    <w:lvl w:ilvl="7" w:tplc="12D26C72" w:tentative="1">
      <w:start w:val="1"/>
      <w:numFmt w:val="bullet"/>
      <w:lvlText w:val="•"/>
      <w:lvlJc w:val="left"/>
      <w:pPr>
        <w:tabs>
          <w:tab w:val="num" w:pos="5760"/>
        </w:tabs>
        <w:ind w:left="5760" w:hanging="360"/>
      </w:pPr>
      <w:rPr>
        <w:rFonts w:ascii="Times New Roman" w:hAnsi="Times New Roman" w:hint="default"/>
      </w:rPr>
    </w:lvl>
    <w:lvl w:ilvl="8" w:tplc="D10A2178" w:tentative="1">
      <w:start w:val="1"/>
      <w:numFmt w:val="bullet"/>
      <w:lvlText w:val="•"/>
      <w:lvlJc w:val="left"/>
      <w:pPr>
        <w:tabs>
          <w:tab w:val="num" w:pos="6480"/>
        </w:tabs>
        <w:ind w:left="6480" w:hanging="360"/>
      </w:pPr>
      <w:rPr>
        <w:rFonts w:ascii="Times New Roman" w:hAnsi="Times New Roman"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4"/>
  </w:num>
  <w:num w:numId="5">
    <w:abstractNumId w:val="2"/>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C1F72"/>
    <w:rsid w:val="000208A5"/>
    <w:rsid w:val="00057991"/>
    <w:rsid w:val="00165027"/>
    <w:rsid w:val="001C4A41"/>
    <w:rsid w:val="002A57B2"/>
    <w:rsid w:val="00380A9C"/>
    <w:rsid w:val="004050B5"/>
    <w:rsid w:val="00454FB6"/>
    <w:rsid w:val="004B0096"/>
    <w:rsid w:val="004F16B2"/>
    <w:rsid w:val="00505799"/>
    <w:rsid w:val="00595E52"/>
    <w:rsid w:val="006024DE"/>
    <w:rsid w:val="00660A25"/>
    <w:rsid w:val="006B5D82"/>
    <w:rsid w:val="0073231C"/>
    <w:rsid w:val="007742EA"/>
    <w:rsid w:val="008530DE"/>
    <w:rsid w:val="0086553C"/>
    <w:rsid w:val="008D1591"/>
    <w:rsid w:val="009F7AB4"/>
    <w:rsid w:val="00A269D1"/>
    <w:rsid w:val="00AF014B"/>
    <w:rsid w:val="00AF63D6"/>
    <w:rsid w:val="00BE0E38"/>
    <w:rsid w:val="00C01BFE"/>
    <w:rsid w:val="00C14253"/>
    <w:rsid w:val="00C4088C"/>
    <w:rsid w:val="00CB21DC"/>
    <w:rsid w:val="00CC1F72"/>
    <w:rsid w:val="00D272B1"/>
    <w:rsid w:val="00E641CC"/>
    <w:rsid w:val="00E85541"/>
    <w:rsid w:val="00F7136C"/>
    <w:rsid w:val="00FB73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7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C1F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1F72"/>
    <w:rPr>
      <w:sz w:val="20"/>
      <w:szCs w:val="20"/>
    </w:rPr>
  </w:style>
  <w:style w:type="paragraph" w:styleId="Textonotaalfinal">
    <w:name w:val="endnote text"/>
    <w:basedOn w:val="Normal"/>
    <w:link w:val="TextonotaalfinalCar"/>
    <w:uiPriority w:val="99"/>
    <w:semiHidden/>
    <w:unhideWhenUsed/>
    <w:rsid w:val="00CC1F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C1F72"/>
    <w:rPr>
      <w:sz w:val="20"/>
      <w:szCs w:val="20"/>
    </w:rPr>
  </w:style>
  <w:style w:type="paragraph" w:styleId="Sinespaciado">
    <w:name w:val="No Spacing"/>
    <w:uiPriority w:val="1"/>
    <w:qFormat/>
    <w:rsid w:val="00CC1F72"/>
    <w:pPr>
      <w:spacing w:after="0" w:line="240" w:lineRule="auto"/>
    </w:pPr>
  </w:style>
  <w:style w:type="paragraph" w:styleId="Prrafodelista">
    <w:name w:val="List Paragraph"/>
    <w:basedOn w:val="Normal"/>
    <w:uiPriority w:val="34"/>
    <w:qFormat/>
    <w:rsid w:val="00CC1F72"/>
    <w:pPr>
      <w:ind w:left="720"/>
      <w:contextualSpacing/>
    </w:pPr>
  </w:style>
  <w:style w:type="paragraph" w:customStyle="1" w:styleId="Pa13">
    <w:name w:val="Pa13"/>
    <w:basedOn w:val="Normal"/>
    <w:next w:val="Normal"/>
    <w:uiPriority w:val="99"/>
    <w:rsid w:val="00CC1F72"/>
    <w:pPr>
      <w:autoSpaceDE w:val="0"/>
      <w:autoSpaceDN w:val="0"/>
      <w:adjustRightInd w:val="0"/>
      <w:spacing w:after="0" w:line="161" w:lineRule="atLeast"/>
    </w:pPr>
    <w:rPr>
      <w:rFonts w:ascii="Arial" w:hAnsi="Arial" w:cs="Arial"/>
      <w:sz w:val="24"/>
      <w:szCs w:val="24"/>
      <w:lang w:val="es-CO"/>
    </w:rPr>
  </w:style>
  <w:style w:type="paragraph" w:customStyle="1" w:styleId="Default">
    <w:name w:val="Default"/>
    <w:rsid w:val="00CC1F72"/>
    <w:pPr>
      <w:autoSpaceDE w:val="0"/>
      <w:autoSpaceDN w:val="0"/>
      <w:adjustRightInd w:val="0"/>
      <w:spacing w:after="0" w:line="240" w:lineRule="auto"/>
    </w:pPr>
    <w:rPr>
      <w:rFonts w:ascii="Arial" w:hAnsi="Arial" w:cs="Arial"/>
      <w:color w:val="000000"/>
      <w:sz w:val="24"/>
      <w:szCs w:val="24"/>
      <w:lang w:val="es-CO"/>
    </w:rPr>
  </w:style>
  <w:style w:type="character" w:styleId="Refdenotaalpie">
    <w:name w:val="footnote reference"/>
    <w:basedOn w:val="Fuentedeprrafopredeter"/>
    <w:uiPriority w:val="99"/>
    <w:semiHidden/>
    <w:unhideWhenUsed/>
    <w:rsid w:val="00CC1F72"/>
    <w:rPr>
      <w:vertAlign w:val="superscript"/>
    </w:rPr>
  </w:style>
  <w:style w:type="character" w:customStyle="1" w:styleId="hps">
    <w:name w:val="hps"/>
    <w:basedOn w:val="Fuentedeprrafopredeter"/>
    <w:rsid w:val="00CC1F72"/>
  </w:style>
  <w:style w:type="character" w:customStyle="1" w:styleId="blockemailwithname">
    <w:name w:val="blockemailwithname"/>
    <w:basedOn w:val="Fuentedeprrafopredeter"/>
    <w:rsid w:val="00CC1F72"/>
  </w:style>
  <w:style w:type="character" w:customStyle="1" w:styleId="A6">
    <w:name w:val="A6"/>
    <w:uiPriority w:val="99"/>
    <w:rsid w:val="00CC1F72"/>
    <w:rPr>
      <w:color w:val="000000"/>
      <w:sz w:val="11"/>
      <w:szCs w:val="11"/>
    </w:rPr>
  </w:style>
  <w:style w:type="table" w:styleId="Tablaconcuadrcula">
    <w:name w:val="Table Grid"/>
    <w:basedOn w:val="Tablanormal"/>
    <w:uiPriority w:val="59"/>
    <w:rsid w:val="00CC1F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C1F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1F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C1F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1F72"/>
    <w:rPr>
      <w:sz w:val="20"/>
      <w:szCs w:val="20"/>
    </w:rPr>
  </w:style>
  <w:style w:type="paragraph" w:styleId="Textonotaalfinal">
    <w:name w:val="endnote text"/>
    <w:basedOn w:val="Normal"/>
    <w:link w:val="TextonotaalfinalCar"/>
    <w:uiPriority w:val="99"/>
    <w:semiHidden/>
    <w:unhideWhenUsed/>
    <w:rsid w:val="00CC1F7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C1F72"/>
    <w:rPr>
      <w:sz w:val="20"/>
      <w:szCs w:val="20"/>
    </w:rPr>
  </w:style>
  <w:style w:type="paragraph" w:styleId="Sinespaciado">
    <w:name w:val="No Spacing"/>
    <w:uiPriority w:val="1"/>
    <w:qFormat/>
    <w:rsid w:val="00CC1F72"/>
    <w:pPr>
      <w:spacing w:after="0" w:line="240" w:lineRule="auto"/>
    </w:pPr>
  </w:style>
  <w:style w:type="paragraph" w:styleId="Prrafodelista">
    <w:name w:val="List Paragraph"/>
    <w:basedOn w:val="Normal"/>
    <w:uiPriority w:val="34"/>
    <w:qFormat/>
    <w:rsid w:val="00CC1F72"/>
    <w:pPr>
      <w:ind w:left="720"/>
      <w:contextualSpacing/>
    </w:pPr>
  </w:style>
  <w:style w:type="paragraph" w:customStyle="1" w:styleId="Pa13">
    <w:name w:val="Pa13"/>
    <w:basedOn w:val="Normal"/>
    <w:next w:val="Normal"/>
    <w:uiPriority w:val="99"/>
    <w:rsid w:val="00CC1F72"/>
    <w:pPr>
      <w:autoSpaceDE w:val="0"/>
      <w:autoSpaceDN w:val="0"/>
      <w:adjustRightInd w:val="0"/>
      <w:spacing w:after="0" w:line="161" w:lineRule="atLeast"/>
    </w:pPr>
    <w:rPr>
      <w:rFonts w:ascii="Arial" w:hAnsi="Arial" w:cs="Arial"/>
      <w:sz w:val="24"/>
      <w:szCs w:val="24"/>
      <w:lang w:val="es-CO"/>
    </w:rPr>
  </w:style>
  <w:style w:type="paragraph" w:customStyle="1" w:styleId="Default">
    <w:name w:val="Default"/>
    <w:rsid w:val="00CC1F72"/>
    <w:pPr>
      <w:autoSpaceDE w:val="0"/>
      <w:autoSpaceDN w:val="0"/>
      <w:adjustRightInd w:val="0"/>
      <w:spacing w:after="0" w:line="240" w:lineRule="auto"/>
    </w:pPr>
    <w:rPr>
      <w:rFonts w:ascii="Arial" w:hAnsi="Arial" w:cs="Arial"/>
      <w:color w:val="000000"/>
      <w:sz w:val="24"/>
      <w:szCs w:val="24"/>
      <w:lang w:val="es-CO"/>
    </w:rPr>
  </w:style>
  <w:style w:type="character" w:styleId="Refdenotaalpie">
    <w:name w:val="footnote reference"/>
    <w:basedOn w:val="Fuentedeprrafopredeter"/>
    <w:uiPriority w:val="99"/>
    <w:semiHidden/>
    <w:unhideWhenUsed/>
    <w:rsid w:val="00CC1F72"/>
    <w:rPr>
      <w:vertAlign w:val="superscript"/>
    </w:rPr>
  </w:style>
  <w:style w:type="character" w:customStyle="1" w:styleId="hps">
    <w:name w:val="hps"/>
    <w:basedOn w:val="Fuentedeprrafopredeter"/>
    <w:rsid w:val="00CC1F72"/>
  </w:style>
  <w:style w:type="character" w:customStyle="1" w:styleId="blockemailwithname">
    <w:name w:val="blockemailwithname"/>
    <w:basedOn w:val="Fuentedeprrafopredeter"/>
    <w:rsid w:val="00CC1F72"/>
  </w:style>
  <w:style w:type="character" w:customStyle="1" w:styleId="A6">
    <w:name w:val="A6"/>
    <w:uiPriority w:val="99"/>
    <w:rsid w:val="00CC1F72"/>
    <w:rPr>
      <w:color w:val="000000"/>
      <w:sz w:val="11"/>
      <w:szCs w:val="11"/>
    </w:rPr>
  </w:style>
  <w:style w:type="table" w:styleId="Tablaconcuadrcula">
    <w:name w:val="Table Grid"/>
    <w:basedOn w:val="Tablanormal"/>
    <w:uiPriority w:val="59"/>
    <w:rsid w:val="00CC1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C1F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1F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868504">
      <w:bodyDiv w:val="1"/>
      <w:marLeft w:val="0"/>
      <w:marRight w:val="0"/>
      <w:marTop w:val="0"/>
      <w:marBottom w:val="0"/>
      <w:divBdr>
        <w:top w:val="none" w:sz="0" w:space="0" w:color="auto"/>
        <w:left w:val="none" w:sz="0" w:space="0" w:color="auto"/>
        <w:bottom w:val="none" w:sz="0" w:space="0" w:color="auto"/>
        <w:right w:val="none" w:sz="0" w:space="0" w:color="auto"/>
      </w:divBdr>
    </w:div>
    <w:div w:id="963340883">
      <w:bodyDiv w:val="1"/>
      <w:marLeft w:val="0"/>
      <w:marRight w:val="0"/>
      <w:marTop w:val="0"/>
      <w:marBottom w:val="0"/>
      <w:divBdr>
        <w:top w:val="none" w:sz="0" w:space="0" w:color="auto"/>
        <w:left w:val="none" w:sz="0" w:space="0" w:color="auto"/>
        <w:bottom w:val="none" w:sz="0" w:space="0" w:color="auto"/>
        <w:right w:val="none" w:sz="0" w:space="0" w:color="auto"/>
      </w:divBdr>
      <w:divsChild>
        <w:div w:id="2016107143">
          <w:marLeft w:val="547"/>
          <w:marRight w:val="0"/>
          <w:marTop w:val="115"/>
          <w:marBottom w:val="0"/>
          <w:divBdr>
            <w:top w:val="none" w:sz="0" w:space="0" w:color="auto"/>
            <w:left w:val="none" w:sz="0" w:space="0" w:color="auto"/>
            <w:bottom w:val="none" w:sz="0" w:space="0" w:color="auto"/>
            <w:right w:val="none" w:sz="0" w:space="0" w:color="auto"/>
          </w:divBdr>
        </w:div>
        <w:div w:id="1969117649">
          <w:marLeft w:val="547"/>
          <w:marRight w:val="0"/>
          <w:marTop w:val="115"/>
          <w:marBottom w:val="0"/>
          <w:divBdr>
            <w:top w:val="none" w:sz="0" w:space="0" w:color="auto"/>
            <w:left w:val="none" w:sz="0" w:space="0" w:color="auto"/>
            <w:bottom w:val="none" w:sz="0" w:space="0" w:color="auto"/>
            <w:right w:val="none" w:sz="0" w:space="0" w:color="auto"/>
          </w:divBdr>
        </w:div>
      </w:divsChild>
    </w:div>
    <w:div w:id="1123158902">
      <w:bodyDiv w:val="1"/>
      <w:marLeft w:val="0"/>
      <w:marRight w:val="0"/>
      <w:marTop w:val="0"/>
      <w:marBottom w:val="0"/>
      <w:divBdr>
        <w:top w:val="none" w:sz="0" w:space="0" w:color="auto"/>
        <w:left w:val="none" w:sz="0" w:space="0" w:color="auto"/>
        <w:bottom w:val="none" w:sz="0" w:space="0" w:color="auto"/>
        <w:right w:val="none" w:sz="0" w:space="0" w:color="auto"/>
      </w:divBdr>
      <w:divsChild>
        <w:div w:id="137722013">
          <w:marLeft w:val="547"/>
          <w:marRight w:val="0"/>
          <w:marTop w:val="0"/>
          <w:marBottom w:val="0"/>
          <w:divBdr>
            <w:top w:val="none" w:sz="0" w:space="0" w:color="auto"/>
            <w:left w:val="none" w:sz="0" w:space="0" w:color="auto"/>
            <w:bottom w:val="none" w:sz="0" w:space="0" w:color="auto"/>
            <w:right w:val="none" w:sz="0" w:space="0" w:color="auto"/>
          </w:divBdr>
        </w:div>
      </w:divsChild>
    </w:div>
    <w:div w:id="1348946345">
      <w:bodyDiv w:val="1"/>
      <w:marLeft w:val="0"/>
      <w:marRight w:val="0"/>
      <w:marTop w:val="0"/>
      <w:marBottom w:val="0"/>
      <w:divBdr>
        <w:top w:val="none" w:sz="0" w:space="0" w:color="auto"/>
        <w:left w:val="none" w:sz="0" w:space="0" w:color="auto"/>
        <w:bottom w:val="none" w:sz="0" w:space="0" w:color="auto"/>
        <w:right w:val="none" w:sz="0" w:space="0" w:color="auto"/>
      </w:divBdr>
      <w:divsChild>
        <w:div w:id="1553037802">
          <w:marLeft w:val="547"/>
          <w:marRight w:val="0"/>
          <w:marTop w:val="115"/>
          <w:marBottom w:val="0"/>
          <w:divBdr>
            <w:top w:val="none" w:sz="0" w:space="0" w:color="auto"/>
            <w:left w:val="none" w:sz="0" w:space="0" w:color="auto"/>
            <w:bottom w:val="none" w:sz="0" w:space="0" w:color="auto"/>
            <w:right w:val="none" w:sz="0" w:space="0" w:color="auto"/>
          </w:divBdr>
        </w:div>
        <w:div w:id="1871062084">
          <w:marLeft w:val="547"/>
          <w:marRight w:val="0"/>
          <w:marTop w:val="115"/>
          <w:marBottom w:val="0"/>
          <w:divBdr>
            <w:top w:val="none" w:sz="0" w:space="0" w:color="auto"/>
            <w:left w:val="none" w:sz="0" w:space="0" w:color="auto"/>
            <w:bottom w:val="none" w:sz="0" w:space="0" w:color="auto"/>
            <w:right w:val="none" w:sz="0" w:space="0" w:color="auto"/>
          </w:divBdr>
        </w:div>
        <w:div w:id="1532035293">
          <w:marLeft w:val="547"/>
          <w:marRight w:val="0"/>
          <w:marTop w:val="115"/>
          <w:marBottom w:val="0"/>
          <w:divBdr>
            <w:top w:val="none" w:sz="0" w:space="0" w:color="auto"/>
            <w:left w:val="none" w:sz="0" w:space="0" w:color="auto"/>
            <w:bottom w:val="none" w:sz="0" w:space="0" w:color="auto"/>
            <w:right w:val="none" w:sz="0" w:space="0" w:color="auto"/>
          </w:divBdr>
        </w:div>
        <w:div w:id="1649091422">
          <w:marLeft w:val="547"/>
          <w:marRight w:val="0"/>
          <w:marTop w:val="115"/>
          <w:marBottom w:val="0"/>
          <w:divBdr>
            <w:top w:val="none" w:sz="0" w:space="0" w:color="auto"/>
            <w:left w:val="none" w:sz="0" w:space="0" w:color="auto"/>
            <w:bottom w:val="none" w:sz="0" w:space="0" w:color="auto"/>
            <w:right w:val="none" w:sz="0" w:space="0" w:color="auto"/>
          </w:divBdr>
        </w:div>
      </w:divsChild>
    </w:div>
    <w:div w:id="2083721513">
      <w:bodyDiv w:val="1"/>
      <w:marLeft w:val="0"/>
      <w:marRight w:val="0"/>
      <w:marTop w:val="0"/>
      <w:marBottom w:val="0"/>
      <w:divBdr>
        <w:top w:val="none" w:sz="0" w:space="0" w:color="auto"/>
        <w:left w:val="none" w:sz="0" w:space="0" w:color="auto"/>
        <w:bottom w:val="none" w:sz="0" w:space="0" w:color="auto"/>
        <w:right w:val="none" w:sz="0" w:space="0" w:color="auto"/>
      </w:divBdr>
      <w:divsChild>
        <w:div w:id="10641110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openxmlformats.org/officeDocument/2006/relationships/settings" Target="settings.xml"/><Relationship Id="rId21" Type="http://schemas.openxmlformats.org/officeDocument/2006/relationships/image" Target="media/image16.gif"/><Relationship Id="rId34" Type="http://schemas.microsoft.com/office/2007/relationships/hdphoto" Target="../ppt/media/hdphoto6.wdp"/><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32" Type="http://schemas.microsoft.com/office/2007/relationships/hdphoto" Target="../ppt/media/hdphoto5.wdp"/><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30" Type="http://schemas.microsoft.com/office/2007/relationships/hdphoto" Target="../ppt/media/hdphoto4.wdp"/><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14</Pages>
  <Words>2691</Words>
  <Characters>14803</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SORAYA</dc:creator>
  <cp:lastModifiedBy>ROJAS HERNANDEZ</cp:lastModifiedBy>
  <cp:revision>7</cp:revision>
  <dcterms:created xsi:type="dcterms:W3CDTF">2012-05-12T16:21:00Z</dcterms:created>
  <dcterms:modified xsi:type="dcterms:W3CDTF">2012-05-13T02:34:00Z</dcterms:modified>
</cp:coreProperties>
</file>