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72" w:rsidRPr="002E2806" w:rsidRDefault="00672D91" w:rsidP="006A48D0">
      <w:pPr>
        <w:jc w:val="center"/>
        <w:rPr>
          <w:b/>
        </w:rPr>
      </w:pPr>
      <w:r w:rsidRPr="002E2806">
        <w:rPr>
          <w:b/>
        </w:rPr>
        <w:t>Meta-análisis</w:t>
      </w:r>
      <w:r w:rsidR="00F03D76" w:rsidRPr="002E2806">
        <w:rPr>
          <w:b/>
        </w:rPr>
        <w:t xml:space="preserve"> </w:t>
      </w:r>
      <w:r w:rsidRPr="002E2806">
        <w:rPr>
          <w:b/>
        </w:rPr>
        <w:t xml:space="preserve">sobre </w:t>
      </w:r>
      <w:r w:rsidR="006D0572" w:rsidRPr="002E2806">
        <w:rPr>
          <w:b/>
        </w:rPr>
        <w:t>Calidad de vida relacionada con la salud de enfermedades infecciosas</w:t>
      </w:r>
      <w:r w:rsidRPr="002E2806">
        <w:rPr>
          <w:b/>
        </w:rPr>
        <w:t xml:space="preserve">, </w:t>
      </w:r>
      <w:r w:rsidR="006D0572" w:rsidRPr="002E2806">
        <w:rPr>
          <w:b/>
        </w:rPr>
        <w:t>2002-2012.</w:t>
      </w:r>
    </w:p>
    <w:p w:rsidR="006D0572" w:rsidRPr="002E2806" w:rsidRDefault="006D0572" w:rsidP="006A48D0">
      <w:pPr>
        <w:jc w:val="center"/>
        <w:rPr>
          <w:b/>
        </w:rPr>
      </w:pPr>
    </w:p>
    <w:p w:rsidR="006D0572" w:rsidRPr="004B430A" w:rsidRDefault="00672D91" w:rsidP="006A48D0">
      <w:pPr>
        <w:jc w:val="center"/>
        <w:rPr>
          <w:lang w:val="en-US"/>
        </w:rPr>
      </w:pPr>
      <w:r w:rsidRPr="002E2806">
        <w:rPr>
          <w:b/>
          <w:lang w:val="en-US"/>
        </w:rPr>
        <w:t xml:space="preserve">Meta-analysis about </w:t>
      </w:r>
      <w:r w:rsidR="006D0572" w:rsidRPr="002E2806">
        <w:rPr>
          <w:b/>
          <w:lang w:val="en-US"/>
        </w:rPr>
        <w:t xml:space="preserve">Health related Quality of Life in </w:t>
      </w:r>
      <w:r w:rsidR="00E97351" w:rsidRPr="002E2806">
        <w:rPr>
          <w:b/>
          <w:lang w:val="en-US"/>
        </w:rPr>
        <w:t>infectious diseases</w:t>
      </w:r>
      <w:r w:rsidRPr="002E2806">
        <w:rPr>
          <w:b/>
          <w:lang w:val="en-US"/>
        </w:rPr>
        <w:t>,</w:t>
      </w:r>
      <w:r w:rsidR="006D0572" w:rsidRPr="002E2806">
        <w:rPr>
          <w:b/>
          <w:lang w:val="en-US"/>
        </w:rPr>
        <w:t xml:space="preserve"> 2002-2012.</w:t>
      </w:r>
    </w:p>
    <w:p w:rsidR="006D0572" w:rsidRPr="004B430A" w:rsidRDefault="006D0572" w:rsidP="006A48D0">
      <w:pPr>
        <w:jc w:val="center"/>
        <w:rPr>
          <w:lang w:val="en-US"/>
        </w:rPr>
      </w:pPr>
    </w:p>
    <w:p w:rsidR="006D0572" w:rsidRPr="003E31AE" w:rsidRDefault="006D0572" w:rsidP="006A48D0">
      <w:pPr>
        <w:jc w:val="center"/>
      </w:pPr>
      <w:proofErr w:type="spellStart"/>
      <w:r w:rsidRPr="003E31AE">
        <w:t>Jaiberth</w:t>
      </w:r>
      <w:proofErr w:type="spellEnd"/>
      <w:r w:rsidRPr="003E31AE">
        <w:t xml:space="preserve"> Antonio Cardona-Arias (1) Luis Felipe Higuita-Gutiérrez (2)</w:t>
      </w:r>
    </w:p>
    <w:p w:rsidR="006D0572" w:rsidRPr="003E31AE" w:rsidRDefault="006D0572" w:rsidP="006A48D0">
      <w:pPr>
        <w:pStyle w:val="NormalWeb"/>
        <w:spacing w:before="0" w:beforeAutospacing="0" w:after="0" w:afterAutospacing="0" w:line="480" w:lineRule="auto"/>
        <w:jc w:val="center"/>
        <w:rPr>
          <w:rFonts w:eastAsiaTheme="minorEastAsia"/>
          <w:lang w:val="es-MX" w:eastAsia="es-MX"/>
        </w:rPr>
      </w:pPr>
    </w:p>
    <w:p w:rsidR="006D0572" w:rsidRPr="002E2806" w:rsidRDefault="006D0572" w:rsidP="006A48D0">
      <w:pPr>
        <w:pStyle w:val="NormalWeb"/>
        <w:spacing w:before="0" w:beforeAutospacing="0" w:after="0" w:afterAutospacing="0" w:line="480" w:lineRule="auto"/>
        <w:rPr>
          <w:rFonts w:ascii="Arial" w:hAnsi="Arial" w:cs="Arial"/>
        </w:rPr>
      </w:pPr>
      <w:r w:rsidRPr="002E2806">
        <w:rPr>
          <w:rFonts w:ascii="Arial" w:eastAsia="Calibri" w:hAnsi="Arial" w:cs="Arial"/>
        </w:rPr>
        <w:t xml:space="preserve">(1) Microbiólogo y </w:t>
      </w:r>
      <w:proofErr w:type="spellStart"/>
      <w:r w:rsidRPr="002E2806">
        <w:rPr>
          <w:rFonts w:ascii="Arial" w:eastAsia="Calibri" w:hAnsi="Arial" w:cs="Arial"/>
        </w:rPr>
        <w:t>Bioanalista</w:t>
      </w:r>
      <w:proofErr w:type="spellEnd"/>
      <w:r w:rsidRPr="002E2806">
        <w:rPr>
          <w:rFonts w:ascii="Arial" w:eastAsia="Calibri" w:hAnsi="Arial" w:cs="Arial"/>
        </w:rPr>
        <w:t xml:space="preserve">, </w:t>
      </w:r>
      <w:proofErr w:type="spellStart"/>
      <w:r w:rsidRPr="002E2806">
        <w:rPr>
          <w:rFonts w:ascii="Arial" w:hAnsi="Arial" w:cs="Arial"/>
        </w:rPr>
        <w:t>MSc</w:t>
      </w:r>
      <w:proofErr w:type="spellEnd"/>
      <w:r w:rsidRPr="002E2806">
        <w:rPr>
          <w:rFonts w:ascii="Arial" w:hAnsi="Arial" w:cs="Arial"/>
        </w:rPr>
        <w:t xml:space="preserve"> Epidemiología. Docente Escuela de Microbiología Universidad de Antioquia, Facultad de Medicina Universidad Cooperativa de Colombia. Grupo de investigación Salud y Sostenibilidad, Universidad de Antioquia. Medellín, Colombia.</w:t>
      </w:r>
    </w:p>
    <w:p w:rsidR="006D0572" w:rsidRPr="002E2806" w:rsidRDefault="006D0572" w:rsidP="006A48D0">
      <w:pPr>
        <w:pStyle w:val="NormalWeb"/>
        <w:spacing w:before="0" w:beforeAutospacing="0" w:after="0" w:afterAutospacing="0" w:line="480" w:lineRule="auto"/>
        <w:rPr>
          <w:rFonts w:ascii="Arial" w:hAnsi="Arial" w:cs="Arial"/>
        </w:rPr>
      </w:pPr>
      <w:r w:rsidRPr="002E2806">
        <w:rPr>
          <w:rFonts w:ascii="Arial" w:eastAsia="Calibri" w:hAnsi="Arial" w:cs="Arial"/>
        </w:rPr>
        <w:t xml:space="preserve">(2) Microbiólogo y </w:t>
      </w:r>
      <w:proofErr w:type="spellStart"/>
      <w:r w:rsidRPr="002E2806">
        <w:rPr>
          <w:rFonts w:ascii="Arial" w:eastAsia="Calibri" w:hAnsi="Arial" w:cs="Arial"/>
        </w:rPr>
        <w:t>Bioanalista</w:t>
      </w:r>
      <w:proofErr w:type="spellEnd"/>
      <w:r w:rsidRPr="002E2806">
        <w:rPr>
          <w:rFonts w:ascii="Arial" w:eastAsia="Calibri" w:hAnsi="Arial" w:cs="Arial"/>
        </w:rPr>
        <w:t xml:space="preserve">. </w:t>
      </w:r>
      <w:proofErr w:type="spellStart"/>
      <w:proofErr w:type="gramStart"/>
      <w:r w:rsidRPr="002E2806">
        <w:rPr>
          <w:rFonts w:ascii="Arial" w:eastAsia="Calibri" w:hAnsi="Arial" w:cs="Arial"/>
        </w:rPr>
        <w:t>cMSc</w:t>
      </w:r>
      <w:proofErr w:type="spellEnd"/>
      <w:proofErr w:type="gramEnd"/>
      <w:r w:rsidRPr="002E2806">
        <w:rPr>
          <w:rFonts w:ascii="Arial" w:eastAsia="Calibri" w:hAnsi="Arial" w:cs="Arial"/>
        </w:rPr>
        <w:t xml:space="preserve"> en Educación</w:t>
      </w:r>
      <w:r w:rsidR="001A4799" w:rsidRPr="002E2806">
        <w:rPr>
          <w:rFonts w:ascii="Arial" w:eastAsia="Calibri" w:hAnsi="Arial" w:cs="Arial"/>
        </w:rPr>
        <w:t xml:space="preserve"> y desarrollo humano</w:t>
      </w:r>
      <w:r w:rsidRPr="002E2806">
        <w:rPr>
          <w:rFonts w:ascii="Arial" w:eastAsia="Calibri" w:hAnsi="Arial" w:cs="Arial"/>
        </w:rPr>
        <w:t>. Docente Escuela de Microbiología</w:t>
      </w:r>
      <w:r w:rsidRPr="002E2806">
        <w:rPr>
          <w:rFonts w:ascii="Arial" w:hAnsi="Arial" w:cs="Arial"/>
        </w:rPr>
        <w:t>, Universidad de Antioquia. Medellín, Colombia.</w:t>
      </w:r>
    </w:p>
    <w:p w:rsidR="006D0572" w:rsidRPr="002E2806" w:rsidRDefault="006D0572" w:rsidP="006A48D0">
      <w:pPr>
        <w:pStyle w:val="NormalWeb"/>
        <w:spacing w:before="0" w:beforeAutospacing="0" w:after="0" w:afterAutospacing="0" w:line="480" w:lineRule="auto"/>
        <w:rPr>
          <w:rFonts w:ascii="Arial" w:hAnsi="Arial" w:cs="Arial"/>
        </w:rPr>
      </w:pPr>
    </w:p>
    <w:p w:rsidR="006D0572" w:rsidRPr="002E2806" w:rsidRDefault="006D0572" w:rsidP="006A48D0">
      <w:pPr>
        <w:pStyle w:val="NormalWeb"/>
        <w:spacing w:before="0" w:beforeAutospacing="0" w:after="0" w:afterAutospacing="0" w:line="480" w:lineRule="auto"/>
        <w:rPr>
          <w:rFonts w:ascii="Arial" w:hAnsi="Arial" w:cs="Arial"/>
        </w:rPr>
      </w:pPr>
      <w:r w:rsidRPr="002E2806">
        <w:rPr>
          <w:rFonts w:ascii="Arial" w:hAnsi="Arial" w:cs="Arial"/>
        </w:rPr>
        <w:t>Correspondencia.</w:t>
      </w:r>
    </w:p>
    <w:p w:rsidR="006D0572" w:rsidRPr="0066080D" w:rsidRDefault="006D0572" w:rsidP="006A48D0">
      <w:pPr>
        <w:pStyle w:val="Textoindependiente"/>
        <w:spacing w:after="0"/>
      </w:pPr>
      <w:proofErr w:type="spellStart"/>
      <w:r w:rsidRPr="0066080D">
        <w:rPr>
          <w:bCs/>
        </w:rPr>
        <w:t>Jaiberth</w:t>
      </w:r>
      <w:proofErr w:type="spellEnd"/>
      <w:r w:rsidRPr="0066080D">
        <w:rPr>
          <w:bCs/>
        </w:rPr>
        <w:t xml:space="preserve"> Antonio Cardona Arias. </w:t>
      </w:r>
      <w:r w:rsidRPr="0066080D">
        <w:t>Calle 67 Número 53 – 108, Bloque 5, oficina 103, Medellín, Colombia. Teléfono 2198486. Fax 2195486. Correo electrónico jaiberthcardona@gmail.com.</w:t>
      </w:r>
    </w:p>
    <w:p w:rsidR="006D0572" w:rsidRPr="0066080D" w:rsidRDefault="006D0572" w:rsidP="006A48D0">
      <w:r w:rsidRPr="0066080D">
        <w:br w:type="page"/>
      </w:r>
    </w:p>
    <w:p w:rsidR="006D0572" w:rsidRPr="002E2806" w:rsidRDefault="006D0572" w:rsidP="006A48D0">
      <w:pPr>
        <w:pStyle w:val="Textoindependiente"/>
        <w:spacing w:after="0"/>
        <w:rPr>
          <w:b/>
        </w:rPr>
      </w:pPr>
      <w:r w:rsidRPr="002E2806">
        <w:rPr>
          <w:b/>
        </w:rPr>
        <w:lastRenderedPageBreak/>
        <w:t>RESUMEN.</w:t>
      </w:r>
    </w:p>
    <w:p w:rsidR="006D0572" w:rsidRPr="0066080D" w:rsidRDefault="00DE6CEF" w:rsidP="006A48D0">
      <w:r>
        <w:rPr>
          <w:b/>
        </w:rPr>
        <w:t>Introducción</w:t>
      </w:r>
      <w:r w:rsidRPr="0066080D">
        <w:rPr>
          <w:b/>
        </w:rPr>
        <w:t>:</w:t>
      </w:r>
      <w:r>
        <w:t xml:space="preserve"> Las</w:t>
      </w:r>
      <w:r w:rsidR="001853CE">
        <w:t xml:space="preserve"> investigaciones en enfermedades infecciosas </w:t>
      </w:r>
      <w:r w:rsidR="00EA0C9C">
        <w:t xml:space="preserve">son prolijas en </w:t>
      </w:r>
      <w:r w:rsidR="001853CE">
        <w:t>patogénesis, morbilidad, discapacidad y mortalidad; sin embargo, el estudio de su impacto sobre la calidad de vida es exiguo</w:t>
      </w:r>
      <w:r w:rsidR="006D0572" w:rsidRPr="0066080D">
        <w:t>.</w:t>
      </w:r>
    </w:p>
    <w:p w:rsidR="006D0572" w:rsidRPr="0066080D" w:rsidRDefault="006D0572" w:rsidP="006A48D0">
      <w:r w:rsidRPr="0066080D">
        <w:rPr>
          <w:b/>
        </w:rPr>
        <w:t>Objetivo:</w:t>
      </w:r>
      <w:r w:rsidR="00641F9C">
        <w:rPr>
          <w:b/>
        </w:rPr>
        <w:t xml:space="preserve"> </w:t>
      </w:r>
      <w:r w:rsidR="00336AAF">
        <w:t xml:space="preserve">Comparar </w:t>
      </w:r>
      <w:r w:rsidR="001853CE">
        <w:t>la calidad de vida relacionada con la salud en enfermedades infecciosas</w:t>
      </w:r>
      <w:r w:rsidRPr="0066080D">
        <w:rPr>
          <w:color w:val="000000"/>
        </w:rPr>
        <w:t xml:space="preserve"> a partir de estudios reportados en la literatura</w:t>
      </w:r>
      <w:r w:rsidR="00FA115D">
        <w:rPr>
          <w:color w:val="000000"/>
        </w:rPr>
        <w:t>,</w:t>
      </w:r>
      <w:r w:rsidRPr="0066080D">
        <w:rPr>
          <w:color w:val="000000"/>
        </w:rPr>
        <w:t xml:space="preserve"> 2002-2012.</w:t>
      </w:r>
    </w:p>
    <w:p w:rsidR="00ED4BA4" w:rsidRPr="004650E8" w:rsidRDefault="006D0572" w:rsidP="006A48D0">
      <w:r w:rsidRPr="0066080D">
        <w:rPr>
          <w:b/>
        </w:rPr>
        <w:t>Métodos:</w:t>
      </w:r>
      <w:r w:rsidR="00E60158" w:rsidRPr="008E144A">
        <w:t xml:space="preserve"> </w:t>
      </w:r>
      <w:r w:rsidR="008E144A" w:rsidRPr="008E144A">
        <w:t>R</w:t>
      </w:r>
      <w:r w:rsidR="008E144A">
        <w:t>evisión sistemática con m</w:t>
      </w:r>
      <w:r w:rsidR="00336AAF" w:rsidRPr="00336AAF">
        <w:t>eta-análisis</w:t>
      </w:r>
      <w:r w:rsidR="00717CF8">
        <w:t xml:space="preserve">. Se </w:t>
      </w:r>
      <w:r w:rsidR="00F15D9D">
        <w:t>aplic</w:t>
      </w:r>
      <w:r w:rsidR="00717CF8">
        <w:t>ó</w:t>
      </w:r>
      <w:r w:rsidR="00F15D9D">
        <w:t xml:space="preserve"> </w:t>
      </w:r>
      <w:r w:rsidRPr="0066080D">
        <w:t xml:space="preserve">un protocolo de investigación </w:t>
      </w:r>
      <w:r w:rsidR="00641F9C">
        <w:t xml:space="preserve">en 4 bases de datos multidisciplinarias, </w:t>
      </w:r>
      <w:r w:rsidRPr="0066080D">
        <w:t xml:space="preserve">con términos de búsqueda, criterios de inclusión y exclusión, </w:t>
      </w:r>
      <w:r>
        <w:t xml:space="preserve">y </w:t>
      </w:r>
      <w:r w:rsidRPr="0066080D">
        <w:t xml:space="preserve">evaluación de la calidad de </w:t>
      </w:r>
      <w:r>
        <w:t>artículos</w:t>
      </w:r>
      <w:r w:rsidRPr="0066080D">
        <w:t xml:space="preserve">, por dos investigadores para garantizar la exhaustividad y reproducibilidad. El análisis de basó en frecuencias, </w:t>
      </w:r>
      <w:r w:rsidR="00641F9C">
        <w:t xml:space="preserve">medidas de resumen, </w:t>
      </w:r>
      <w:r w:rsidRPr="0066080D">
        <w:t xml:space="preserve">intervalos de confianza para proporciones y </w:t>
      </w:r>
      <w:r w:rsidR="00641F9C">
        <w:t xml:space="preserve">prueba t </w:t>
      </w:r>
      <w:proofErr w:type="spellStart"/>
      <w:r w:rsidR="00641F9C">
        <w:t>student</w:t>
      </w:r>
      <w:proofErr w:type="spellEnd"/>
      <w:r w:rsidR="00CD5BD2">
        <w:t>.</w:t>
      </w:r>
    </w:p>
    <w:p w:rsidR="00155F3D" w:rsidRDefault="006D0572" w:rsidP="006A48D0">
      <w:r w:rsidRPr="00CD5BD2">
        <w:rPr>
          <w:b/>
        </w:rPr>
        <w:t>Resultados:</w:t>
      </w:r>
      <w:r w:rsidRPr="000C2202">
        <w:t xml:space="preserve"> </w:t>
      </w:r>
      <w:r w:rsidR="000C2202" w:rsidRPr="000C2202">
        <w:t xml:space="preserve">De </w:t>
      </w:r>
      <w:r w:rsidR="000C2202">
        <w:t xml:space="preserve">548 investigaciones en calidad de vida sólo </w:t>
      </w:r>
      <w:r w:rsidR="00155F3D">
        <w:t xml:space="preserve">14 </w:t>
      </w:r>
      <w:r w:rsidRPr="00CD5BD2">
        <w:t>cumpl</w:t>
      </w:r>
      <w:r w:rsidR="00155F3D">
        <w:t>ieron</w:t>
      </w:r>
      <w:r w:rsidRPr="00CD5BD2">
        <w:t xml:space="preserve"> el protocolo e inclu</w:t>
      </w:r>
      <w:r w:rsidR="00DE6CEF">
        <w:t>yeron</w:t>
      </w:r>
      <w:r w:rsidRPr="00CD5BD2">
        <w:t xml:space="preserve"> </w:t>
      </w:r>
      <w:r w:rsidR="00DE6CEF">
        <w:t>2.013 infectados</w:t>
      </w:r>
      <w:r w:rsidRPr="00CD5BD2">
        <w:t xml:space="preserve">. </w:t>
      </w:r>
      <w:r w:rsidR="00155F3D">
        <w:t>Las enfermedades infecciosas estudiadas fueron VIH/SIDA (47,6%), Lepra (17,8%), Hepatitis B (16,7%), Hepatitis C (8,1%) Chagas (5,5%) y HTLV-1(4,4%).</w:t>
      </w:r>
      <w:r w:rsidRPr="00CD5BD2">
        <w:t xml:space="preserve"> </w:t>
      </w:r>
      <w:r w:rsidR="00BF6AB4">
        <w:t>L</w:t>
      </w:r>
      <w:r w:rsidR="00E73419">
        <w:t xml:space="preserve">a salud física, </w:t>
      </w:r>
      <w:r w:rsidR="00155F3D">
        <w:t>psicológic</w:t>
      </w:r>
      <w:r w:rsidR="00E73419">
        <w:t>a</w:t>
      </w:r>
      <w:r w:rsidR="00155F3D">
        <w:t xml:space="preserve"> y ambient</w:t>
      </w:r>
      <w:r w:rsidR="00BF6AB4">
        <w:t>al</w:t>
      </w:r>
      <w:r w:rsidR="00155F3D">
        <w:t xml:space="preserve"> </w:t>
      </w:r>
      <w:proofErr w:type="gramStart"/>
      <w:r w:rsidR="00155F3D">
        <w:t>fueron</w:t>
      </w:r>
      <w:proofErr w:type="gramEnd"/>
      <w:r w:rsidR="00155F3D">
        <w:t xml:space="preserve"> mejores </w:t>
      </w:r>
      <w:r w:rsidR="00336384">
        <w:t xml:space="preserve">en </w:t>
      </w:r>
      <w:r w:rsidR="00155F3D">
        <w:t>VIH/SIDA y peor</w:t>
      </w:r>
      <w:r w:rsidR="00E73419">
        <w:t>es</w:t>
      </w:r>
      <w:r w:rsidR="00155F3D">
        <w:t xml:space="preserve"> en lepra, mientras que las relaciones sociales presentaron el puntaje más elevado entre los infectados por Hepatitis B o C y más baj</w:t>
      </w:r>
      <w:r w:rsidR="00E73419">
        <w:t>o en quienes viven con VIH/SIDA.</w:t>
      </w:r>
    </w:p>
    <w:p w:rsidR="00ED2C3F" w:rsidRDefault="006D0572" w:rsidP="006A48D0">
      <w:r w:rsidRPr="00CD5BD2">
        <w:rPr>
          <w:b/>
        </w:rPr>
        <w:t>Conclusión:</w:t>
      </w:r>
      <w:r w:rsidRPr="00CD5BD2">
        <w:t xml:space="preserve"> </w:t>
      </w:r>
      <w:r w:rsidR="008E144A">
        <w:t>El estudio evidencia l</w:t>
      </w:r>
      <w:r w:rsidR="00ED2C3F" w:rsidRPr="00B618C8">
        <w:t xml:space="preserve">a pertinencia de evaluar la </w:t>
      </w:r>
      <w:r w:rsidR="008E144A">
        <w:t xml:space="preserve">calidad de vida </w:t>
      </w:r>
      <w:r w:rsidR="00ED2C3F" w:rsidRPr="00B618C8">
        <w:t xml:space="preserve">con el WHOQOLBREF ya que </w:t>
      </w:r>
      <w:r w:rsidR="008E144A">
        <w:t>é</w:t>
      </w:r>
      <w:r w:rsidR="00ED2C3F" w:rsidRPr="00B618C8">
        <w:t>ste permite realizar comparaciones interculturales y en personas con diferentes padecimientos</w:t>
      </w:r>
      <w:r w:rsidR="00ED2C3F">
        <w:t>;</w:t>
      </w:r>
      <w:r w:rsidR="00ED2C3F" w:rsidRPr="00B618C8">
        <w:t xml:space="preserve"> </w:t>
      </w:r>
      <w:r w:rsidR="008E144A">
        <w:t xml:space="preserve">además, </w:t>
      </w:r>
      <w:r w:rsidR="00ED2C3F" w:rsidRPr="00B618C8">
        <w:rPr>
          <w:color w:val="231F20"/>
        </w:rPr>
        <w:t xml:space="preserve">facilita la identificación de problemas funcionales y emocionales no detectados en la evaluación clínica convencional, mejora la monitorización de los pacientes, la comunicación médico-paciente </w:t>
      </w:r>
      <w:r w:rsidR="00ED2C3F">
        <w:rPr>
          <w:color w:val="231F20"/>
        </w:rPr>
        <w:t xml:space="preserve">y </w:t>
      </w:r>
      <w:r w:rsidR="00ED2C3F" w:rsidRPr="00B618C8">
        <w:rPr>
          <w:color w:val="231F20"/>
        </w:rPr>
        <w:t xml:space="preserve">la toma de decisiones </w:t>
      </w:r>
      <w:r w:rsidR="00ED2C3F">
        <w:rPr>
          <w:color w:val="231F20"/>
        </w:rPr>
        <w:t>clínicas y salud pública</w:t>
      </w:r>
      <w:r w:rsidR="00ED2C3F">
        <w:t>.</w:t>
      </w:r>
    </w:p>
    <w:p w:rsidR="006D0572" w:rsidRPr="0066080D" w:rsidRDefault="006D0572" w:rsidP="006A48D0">
      <w:r w:rsidRPr="0066080D">
        <w:rPr>
          <w:b/>
        </w:rPr>
        <w:lastRenderedPageBreak/>
        <w:t>Palabras claves:</w:t>
      </w:r>
      <w:r w:rsidRPr="0066080D">
        <w:t xml:space="preserve"> Calidad de vida, </w:t>
      </w:r>
      <w:r w:rsidR="00CD5BD2">
        <w:t>Salud, Enfermedades infecciosas, O</w:t>
      </w:r>
      <w:r w:rsidRPr="0066080D">
        <w:t>rganización Mundial de la Salud.</w:t>
      </w:r>
    </w:p>
    <w:p w:rsidR="00E357EB" w:rsidRDefault="00E357EB" w:rsidP="006A48D0">
      <w:pPr>
        <w:rPr>
          <w:rFonts w:eastAsia="Times New Roman"/>
          <w:lang w:val="es-MX"/>
        </w:rPr>
      </w:pPr>
    </w:p>
    <w:p w:rsidR="006D0572" w:rsidRPr="00597A06" w:rsidRDefault="006D0572" w:rsidP="006A48D0">
      <w:pPr>
        <w:rPr>
          <w:rFonts w:eastAsia="Times New Roman"/>
          <w:b/>
          <w:lang w:val="en-US"/>
        </w:rPr>
      </w:pPr>
      <w:r w:rsidRPr="00597A06">
        <w:rPr>
          <w:rFonts w:eastAsia="Times New Roman"/>
          <w:b/>
          <w:lang w:val="en-US"/>
        </w:rPr>
        <w:t>ABSTRACT.</w:t>
      </w:r>
    </w:p>
    <w:p w:rsidR="00E357EB" w:rsidRPr="00597A06" w:rsidRDefault="006D0572" w:rsidP="006A48D0">
      <w:pPr>
        <w:rPr>
          <w:rFonts w:eastAsia="Times New Roman"/>
          <w:b/>
          <w:lang w:val="en-US"/>
        </w:rPr>
      </w:pPr>
      <w:r w:rsidRPr="00597A06">
        <w:rPr>
          <w:rFonts w:eastAsia="Times New Roman"/>
          <w:b/>
          <w:lang w:val="en-US"/>
        </w:rPr>
        <w:t>Background:</w:t>
      </w:r>
      <w:r w:rsidR="005E4DCA" w:rsidRPr="005E4DCA">
        <w:rPr>
          <w:lang w:val="en"/>
        </w:rPr>
        <w:t xml:space="preserve"> </w:t>
      </w:r>
      <w:r w:rsidR="005E4DCA">
        <w:rPr>
          <w:lang w:val="en"/>
        </w:rPr>
        <w:t xml:space="preserve">Research </w:t>
      </w:r>
      <w:r w:rsidR="005E4DCA">
        <w:rPr>
          <w:rStyle w:val="hps"/>
          <w:lang w:val="en"/>
        </w:rPr>
        <w:t>on</w:t>
      </w:r>
      <w:r w:rsidR="005E4DCA">
        <w:rPr>
          <w:lang w:val="en"/>
        </w:rPr>
        <w:t xml:space="preserve"> </w:t>
      </w:r>
      <w:r w:rsidR="005E4DCA">
        <w:rPr>
          <w:rStyle w:val="hps"/>
          <w:lang w:val="en"/>
        </w:rPr>
        <w:t>infectious diseases</w:t>
      </w:r>
      <w:r w:rsidR="005E4DCA">
        <w:rPr>
          <w:lang w:val="en"/>
        </w:rPr>
        <w:t xml:space="preserve"> </w:t>
      </w:r>
      <w:r w:rsidR="0062715F">
        <w:rPr>
          <w:lang w:val="en"/>
        </w:rPr>
        <w:t>is wide</w:t>
      </w:r>
      <w:r w:rsidR="005E4DCA">
        <w:rPr>
          <w:rStyle w:val="hps"/>
          <w:lang w:val="en"/>
        </w:rPr>
        <w:t xml:space="preserve"> in</w:t>
      </w:r>
      <w:r w:rsidR="005E4DCA">
        <w:rPr>
          <w:lang w:val="en"/>
        </w:rPr>
        <w:t xml:space="preserve"> </w:t>
      </w:r>
      <w:r w:rsidR="005E4DCA">
        <w:rPr>
          <w:rStyle w:val="hps"/>
          <w:lang w:val="en"/>
        </w:rPr>
        <w:t>pathogenesis</w:t>
      </w:r>
      <w:r w:rsidR="005E4DCA">
        <w:rPr>
          <w:lang w:val="en"/>
        </w:rPr>
        <w:t xml:space="preserve">, </w:t>
      </w:r>
      <w:r w:rsidR="005E4DCA">
        <w:rPr>
          <w:rStyle w:val="hps"/>
          <w:lang w:val="en"/>
        </w:rPr>
        <w:t>morbidity</w:t>
      </w:r>
      <w:r w:rsidR="005E4DCA">
        <w:rPr>
          <w:lang w:val="en"/>
        </w:rPr>
        <w:t xml:space="preserve">, disability </w:t>
      </w:r>
      <w:r w:rsidR="005E4DCA">
        <w:rPr>
          <w:rStyle w:val="hps"/>
          <w:lang w:val="en"/>
        </w:rPr>
        <w:t>and mortality</w:t>
      </w:r>
      <w:r w:rsidR="005E4DCA">
        <w:rPr>
          <w:lang w:val="en"/>
        </w:rPr>
        <w:t xml:space="preserve">, but </w:t>
      </w:r>
      <w:r w:rsidR="005E4DCA">
        <w:rPr>
          <w:rStyle w:val="hps"/>
          <w:lang w:val="en"/>
        </w:rPr>
        <w:t>the study of its</w:t>
      </w:r>
      <w:r w:rsidR="005E4DCA">
        <w:rPr>
          <w:lang w:val="en"/>
        </w:rPr>
        <w:t xml:space="preserve"> </w:t>
      </w:r>
      <w:r w:rsidR="005E4DCA">
        <w:rPr>
          <w:rStyle w:val="hps"/>
          <w:lang w:val="en"/>
        </w:rPr>
        <w:t>impact on quality</w:t>
      </w:r>
      <w:r w:rsidR="005E4DCA">
        <w:rPr>
          <w:lang w:val="en"/>
        </w:rPr>
        <w:t xml:space="preserve"> </w:t>
      </w:r>
      <w:r w:rsidR="005E4DCA">
        <w:rPr>
          <w:rStyle w:val="hps"/>
          <w:lang w:val="en"/>
        </w:rPr>
        <w:t>of life</w:t>
      </w:r>
      <w:r w:rsidR="005E4DCA">
        <w:rPr>
          <w:lang w:val="en"/>
        </w:rPr>
        <w:t xml:space="preserve"> </w:t>
      </w:r>
      <w:r w:rsidR="005E4DCA">
        <w:rPr>
          <w:rStyle w:val="hps"/>
          <w:lang w:val="en"/>
        </w:rPr>
        <w:t>is meager</w:t>
      </w:r>
      <w:r w:rsidR="005E4DCA">
        <w:rPr>
          <w:rStyle w:val="hps"/>
          <w:lang w:val="en"/>
        </w:rPr>
        <w:t>.</w:t>
      </w:r>
    </w:p>
    <w:p w:rsidR="00E357EB" w:rsidRPr="00597A06" w:rsidRDefault="006D0572" w:rsidP="006A48D0">
      <w:pPr>
        <w:rPr>
          <w:rFonts w:eastAsia="Times New Roman"/>
          <w:b/>
          <w:lang w:val="en-US"/>
        </w:rPr>
      </w:pPr>
      <w:r w:rsidRPr="00597A06">
        <w:rPr>
          <w:rFonts w:eastAsia="Times New Roman"/>
          <w:b/>
          <w:lang w:val="en-US"/>
        </w:rPr>
        <w:t xml:space="preserve">Objective: </w:t>
      </w:r>
      <w:r w:rsidR="005E4DCA">
        <w:rPr>
          <w:rStyle w:val="hps"/>
          <w:lang w:val="en"/>
        </w:rPr>
        <w:t>To compare the</w:t>
      </w:r>
      <w:r w:rsidR="005E4DCA">
        <w:rPr>
          <w:lang w:val="en"/>
        </w:rPr>
        <w:t xml:space="preserve"> </w:t>
      </w:r>
      <w:r w:rsidR="005E4DCA">
        <w:rPr>
          <w:rStyle w:val="hps"/>
          <w:lang w:val="en"/>
        </w:rPr>
        <w:t>health</w:t>
      </w:r>
      <w:r w:rsidR="005E4DCA">
        <w:rPr>
          <w:lang w:val="en"/>
        </w:rPr>
        <w:t xml:space="preserve"> </w:t>
      </w:r>
      <w:r w:rsidR="005E4DCA">
        <w:rPr>
          <w:rStyle w:val="hps"/>
          <w:lang w:val="en"/>
        </w:rPr>
        <w:t>related quality</w:t>
      </w:r>
      <w:r w:rsidR="005E4DCA">
        <w:rPr>
          <w:lang w:val="en"/>
        </w:rPr>
        <w:t xml:space="preserve"> </w:t>
      </w:r>
      <w:r w:rsidR="005E4DCA">
        <w:rPr>
          <w:rStyle w:val="hps"/>
          <w:lang w:val="en"/>
        </w:rPr>
        <w:t>of life in infectious diseases</w:t>
      </w:r>
      <w:r w:rsidR="005E4DCA">
        <w:rPr>
          <w:lang w:val="en"/>
        </w:rPr>
        <w:t xml:space="preserve"> </w:t>
      </w:r>
      <w:r w:rsidR="0062715F">
        <w:rPr>
          <w:lang w:val="en"/>
        </w:rPr>
        <w:t xml:space="preserve">based on </w:t>
      </w:r>
      <w:r w:rsidR="005E4DCA">
        <w:rPr>
          <w:rStyle w:val="hps"/>
          <w:lang w:val="en"/>
        </w:rPr>
        <w:t>studies</w:t>
      </w:r>
      <w:r w:rsidR="005E4DCA">
        <w:rPr>
          <w:lang w:val="en"/>
        </w:rPr>
        <w:t xml:space="preserve"> </w:t>
      </w:r>
      <w:r w:rsidR="005E4DCA">
        <w:rPr>
          <w:rStyle w:val="hps"/>
          <w:lang w:val="en"/>
        </w:rPr>
        <w:t>reported in the literature</w:t>
      </w:r>
      <w:r w:rsidR="005E4DCA">
        <w:rPr>
          <w:lang w:val="en"/>
        </w:rPr>
        <w:t>, 2002-2012</w:t>
      </w:r>
      <w:r w:rsidR="005E4DCA">
        <w:rPr>
          <w:lang w:val="en"/>
        </w:rPr>
        <w:t>.</w:t>
      </w:r>
    </w:p>
    <w:p w:rsidR="00E357EB" w:rsidRPr="00597A06" w:rsidRDefault="006D0572" w:rsidP="006A48D0">
      <w:pPr>
        <w:rPr>
          <w:rFonts w:eastAsia="Times New Roman"/>
          <w:b/>
          <w:lang w:val="en-US"/>
        </w:rPr>
      </w:pPr>
      <w:r w:rsidRPr="00597A06">
        <w:rPr>
          <w:rFonts w:eastAsia="Times New Roman"/>
          <w:b/>
          <w:lang w:val="en-US"/>
        </w:rPr>
        <w:t xml:space="preserve">Methods: </w:t>
      </w:r>
      <w:r w:rsidR="005E4DCA">
        <w:rPr>
          <w:lang w:val="en"/>
        </w:rPr>
        <w:t xml:space="preserve">Systematic review </w:t>
      </w:r>
      <w:r w:rsidR="005E4DCA">
        <w:rPr>
          <w:rStyle w:val="hps"/>
          <w:lang w:val="en"/>
        </w:rPr>
        <w:t>with</w:t>
      </w:r>
      <w:r w:rsidR="005E4DCA">
        <w:rPr>
          <w:lang w:val="en"/>
        </w:rPr>
        <w:t xml:space="preserve"> </w:t>
      </w:r>
      <w:r w:rsidR="005E4DCA">
        <w:rPr>
          <w:rStyle w:val="hps"/>
          <w:lang w:val="en"/>
        </w:rPr>
        <w:t>meta-</w:t>
      </w:r>
      <w:r w:rsidR="005E4DCA">
        <w:rPr>
          <w:lang w:val="en"/>
        </w:rPr>
        <w:t xml:space="preserve">analysis. </w:t>
      </w:r>
      <w:r w:rsidR="005E4DCA">
        <w:rPr>
          <w:rStyle w:val="hps"/>
          <w:lang w:val="en"/>
        </w:rPr>
        <w:t>We applied a</w:t>
      </w:r>
      <w:r w:rsidR="005E4DCA">
        <w:rPr>
          <w:lang w:val="en"/>
        </w:rPr>
        <w:t xml:space="preserve"> </w:t>
      </w:r>
      <w:r w:rsidR="005E4DCA">
        <w:rPr>
          <w:rStyle w:val="hps"/>
          <w:lang w:val="en"/>
        </w:rPr>
        <w:t>research protocol</w:t>
      </w:r>
      <w:r w:rsidR="005E4DCA">
        <w:rPr>
          <w:lang w:val="en"/>
        </w:rPr>
        <w:t xml:space="preserve"> </w:t>
      </w:r>
      <w:r w:rsidR="005E4DCA">
        <w:rPr>
          <w:rStyle w:val="hps"/>
          <w:lang w:val="en"/>
        </w:rPr>
        <w:t>in</w:t>
      </w:r>
      <w:r w:rsidR="005E4DCA">
        <w:rPr>
          <w:lang w:val="en"/>
        </w:rPr>
        <w:t xml:space="preserve"> </w:t>
      </w:r>
      <w:r w:rsidR="005E4DCA">
        <w:rPr>
          <w:rStyle w:val="hps"/>
          <w:lang w:val="en"/>
        </w:rPr>
        <w:t>four</w:t>
      </w:r>
      <w:r w:rsidR="005E4DCA">
        <w:rPr>
          <w:lang w:val="en"/>
        </w:rPr>
        <w:t xml:space="preserve"> </w:t>
      </w:r>
      <w:r w:rsidR="005E4DCA">
        <w:rPr>
          <w:rStyle w:val="hps"/>
          <w:lang w:val="en"/>
        </w:rPr>
        <w:t>multidisciplinary databases</w:t>
      </w:r>
      <w:r w:rsidR="005E4DCA">
        <w:rPr>
          <w:lang w:val="en"/>
        </w:rPr>
        <w:t xml:space="preserve">, </w:t>
      </w:r>
      <w:r w:rsidR="005E4DCA">
        <w:rPr>
          <w:rStyle w:val="hps"/>
          <w:lang w:val="en"/>
        </w:rPr>
        <w:t>with</w:t>
      </w:r>
      <w:r w:rsidR="005E4DCA">
        <w:rPr>
          <w:lang w:val="en"/>
        </w:rPr>
        <w:t xml:space="preserve"> </w:t>
      </w:r>
      <w:r w:rsidR="005E4DCA">
        <w:rPr>
          <w:rStyle w:val="hps"/>
          <w:lang w:val="en"/>
        </w:rPr>
        <w:t>search terms,</w:t>
      </w:r>
      <w:r w:rsidR="005E4DCA">
        <w:rPr>
          <w:lang w:val="en"/>
        </w:rPr>
        <w:t xml:space="preserve"> </w:t>
      </w:r>
      <w:r w:rsidR="005E4DCA">
        <w:rPr>
          <w:rStyle w:val="hps"/>
          <w:lang w:val="en"/>
        </w:rPr>
        <w:t>criteria for inclusion</w:t>
      </w:r>
      <w:r w:rsidR="005E4DCA">
        <w:rPr>
          <w:lang w:val="en"/>
        </w:rPr>
        <w:t xml:space="preserve"> </w:t>
      </w:r>
      <w:r w:rsidR="005E4DCA">
        <w:rPr>
          <w:rStyle w:val="hps"/>
          <w:lang w:val="en"/>
        </w:rPr>
        <w:t>and exclusion</w:t>
      </w:r>
      <w:r w:rsidR="005E4DCA">
        <w:rPr>
          <w:lang w:val="en"/>
        </w:rPr>
        <w:t xml:space="preserve">, </w:t>
      </w:r>
      <w:r w:rsidR="005E4DCA">
        <w:rPr>
          <w:rStyle w:val="hps"/>
          <w:lang w:val="en"/>
        </w:rPr>
        <w:t>and evaluation</w:t>
      </w:r>
      <w:r w:rsidR="005E4DCA">
        <w:rPr>
          <w:lang w:val="en"/>
        </w:rPr>
        <w:t xml:space="preserve"> </w:t>
      </w:r>
      <w:r w:rsidR="005E4DCA">
        <w:rPr>
          <w:rStyle w:val="hps"/>
          <w:lang w:val="en"/>
        </w:rPr>
        <w:t>of</w:t>
      </w:r>
      <w:r w:rsidR="005E4DCA">
        <w:rPr>
          <w:lang w:val="en"/>
        </w:rPr>
        <w:t xml:space="preserve"> </w:t>
      </w:r>
      <w:r w:rsidR="005E4DCA">
        <w:rPr>
          <w:rStyle w:val="hps"/>
          <w:lang w:val="en"/>
        </w:rPr>
        <w:t>the quality</w:t>
      </w:r>
      <w:r w:rsidR="005E4DCA">
        <w:rPr>
          <w:lang w:val="en"/>
        </w:rPr>
        <w:t xml:space="preserve"> </w:t>
      </w:r>
      <w:r w:rsidR="005E4DCA">
        <w:rPr>
          <w:rStyle w:val="hps"/>
          <w:lang w:val="en"/>
        </w:rPr>
        <w:t>of articles,</w:t>
      </w:r>
      <w:r w:rsidR="005E4DCA">
        <w:rPr>
          <w:lang w:val="en"/>
        </w:rPr>
        <w:t xml:space="preserve"> </w:t>
      </w:r>
      <w:r w:rsidR="005E4DCA">
        <w:rPr>
          <w:rStyle w:val="hps"/>
          <w:lang w:val="en"/>
        </w:rPr>
        <w:t>by two researchers to</w:t>
      </w:r>
      <w:r w:rsidR="005E4DCA">
        <w:rPr>
          <w:lang w:val="en"/>
        </w:rPr>
        <w:t xml:space="preserve"> </w:t>
      </w:r>
      <w:r w:rsidR="005E4DCA">
        <w:rPr>
          <w:rStyle w:val="hps"/>
          <w:lang w:val="en"/>
        </w:rPr>
        <w:t>ensure</w:t>
      </w:r>
      <w:r w:rsidR="005E4DCA">
        <w:rPr>
          <w:lang w:val="en"/>
        </w:rPr>
        <w:t xml:space="preserve"> </w:t>
      </w:r>
      <w:r w:rsidR="005E4DCA">
        <w:rPr>
          <w:rStyle w:val="hps"/>
          <w:lang w:val="en"/>
        </w:rPr>
        <w:t>the completeness and</w:t>
      </w:r>
      <w:r w:rsidR="005E4DCA">
        <w:rPr>
          <w:lang w:val="en"/>
        </w:rPr>
        <w:t xml:space="preserve"> </w:t>
      </w:r>
      <w:r w:rsidR="005E4DCA">
        <w:rPr>
          <w:rStyle w:val="hps"/>
          <w:lang w:val="en"/>
        </w:rPr>
        <w:t>reproducibility</w:t>
      </w:r>
      <w:r w:rsidR="005E4DCA">
        <w:rPr>
          <w:lang w:val="en"/>
        </w:rPr>
        <w:t xml:space="preserve">. </w:t>
      </w:r>
      <w:r w:rsidR="005E4DCA">
        <w:rPr>
          <w:rStyle w:val="hps"/>
          <w:lang w:val="en"/>
        </w:rPr>
        <w:t>The</w:t>
      </w:r>
      <w:r w:rsidR="005E4DCA">
        <w:rPr>
          <w:lang w:val="en"/>
        </w:rPr>
        <w:t xml:space="preserve"> </w:t>
      </w:r>
      <w:r w:rsidR="005E4DCA">
        <w:rPr>
          <w:rStyle w:val="hps"/>
          <w:lang w:val="en"/>
        </w:rPr>
        <w:t>analysis</w:t>
      </w:r>
      <w:r w:rsidR="005E4DCA">
        <w:rPr>
          <w:lang w:val="en"/>
        </w:rPr>
        <w:t xml:space="preserve"> </w:t>
      </w:r>
      <w:r w:rsidR="0062715F">
        <w:rPr>
          <w:lang w:val="en"/>
        </w:rPr>
        <w:t xml:space="preserve">was </w:t>
      </w:r>
      <w:r w:rsidR="005E4DCA">
        <w:rPr>
          <w:rStyle w:val="hps"/>
          <w:lang w:val="en"/>
        </w:rPr>
        <w:t>based on</w:t>
      </w:r>
      <w:r w:rsidR="005E4DCA">
        <w:rPr>
          <w:lang w:val="en"/>
        </w:rPr>
        <w:t xml:space="preserve"> </w:t>
      </w:r>
      <w:r w:rsidR="005E4DCA">
        <w:rPr>
          <w:rStyle w:val="hps"/>
          <w:lang w:val="en"/>
        </w:rPr>
        <w:t>frequencies</w:t>
      </w:r>
      <w:r w:rsidR="005E4DCA">
        <w:rPr>
          <w:lang w:val="en"/>
        </w:rPr>
        <w:t xml:space="preserve">, </w:t>
      </w:r>
      <w:r w:rsidR="005E4DCA">
        <w:rPr>
          <w:rStyle w:val="hps"/>
          <w:lang w:val="en"/>
        </w:rPr>
        <w:t>summary measures</w:t>
      </w:r>
      <w:r w:rsidR="005E4DCA">
        <w:rPr>
          <w:lang w:val="en"/>
        </w:rPr>
        <w:t xml:space="preserve">, </w:t>
      </w:r>
      <w:r w:rsidR="005E4DCA">
        <w:rPr>
          <w:rStyle w:val="hps"/>
          <w:lang w:val="en"/>
        </w:rPr>
        <w:t>confidence intervals for</w:t>
      </w:r>
      <w:r w:rsidR="005E4DCA">
        <w:rPr>
          <w:lang w:val="en"/>
        </w:rPr>
        <w:t xml:space="preserve"> </w:t>
      </w:r>
      <w:r w:rsidR="005E4DCA">
        <w:rPr>
          <w:rStyle w:val="hps"/>
          <w:lang w:val="en"/>
        </w:rPr>
        <w:t>proportions</w:t>
      </w:r>
      <w:r w:rsidR="005E4DCA">
        <w:rPr>
          <w:lang w:val="en"/>
        </w:rPr>
        <w:t xml:space="preserve"> </w:t>
      </w:r>
      <w:r w:rsidR="005E4DCA">
        <w:rPr>
          <w:rStyle w:val="hps"/>
          <w:lang w:val="en"/>
        </w:rPr>
        <w:t>and</w:t>
      </w:r>
      <w:r w:rsidR="005E4DCA">
        <w:rPr>
          <w:lang w:val="en"/>
        </w:rPr>
        <w:t xml:space="preserve"> </w:t>
      </w:r>
      <w:r w:rsidR="005E4DCA">
        <w:rPr>
          <w:rStyle w:val="hps"/>
          <w:lang w:val="en"/>
        </w:rPr>
        <w:t>t student test</w:t>
      </w:r>
      <w:r w:rsidR="005E4DCA">
        <w:rPr>
          <w:rStyle w:val="hps"/>
          <w:lang w:val="en"/>
        </w:rPr>
        <w:t>.</w:t>
      </w:r>
    </w:p>
    <w:p w:rsidR="00E357EB" w:rsidRPr="00597A06" w:rsidRDefault="006D0572" w:rsidP="006A48D0">
      <w:pPr>
        <w:rPr>
          <w:rFonts w:eastAsia="Times New Roman"/>
          <w:b/>
          <w:lang w:val="en-US"/>
        </w:rPr>
      </w:pPr>
      <w:r w:rsidRPr="00597A06">
        <w:rPr>
          <w:rFonts w:eastAsia="Times New Roman"/>
          <w:b/>
          <w:lang w:val="en-US"/>
        </w:rPr>
        <w:t>Results:</w:t>
      </w:r>
      <w:r w:rsidR="005E4DCA" w:rsidRPr="005E4DCA">
        <w:rPr>
          <w:rStyle w:val="hps"/>
          <w:lang w:val="en"/>
        </w:rPr>
        <w:t xml:space="preserve"> </w:t>
      </w:r>
      <w:r w:rsidR="005E4DCA">
        <w:rPr>
          <w:rStyle w:val="hps"/>
          <w:lang w:val="en"/>
        </w:rPr>
        <w:t>Of</w:t>
      </w:r>
      <w:r w:rsidR="005E4DCA">
        <w:rPr>
          <w:lang w:val="en"/>
        </w:rPr>
        <w:t xml:space="preserve"> </w:t>
      </w:r>
      <w:r w:rsidR="005E4DCA">
        <w:rPr>
          <w:rStyle w:val="hps"/>
          <w:lang w:val="en"/>
        </w:rPr>
        <w:t>548</w:t>
      </w:r>
      <w:r w:rsidR="005E4DCA">
        <w:rPr>
          <w:lang w:val="en"/>
        </w:rPr>
        <w:t xml:space="preserve"> </w:t>
      </w:r>
      <w:r w:rsidR="005E4DCA">
        <w:rPr>
          <w:rStyle w:val="hps"/>
          <w:lang w:val="en"/>
        </w:rPr>
        <w:t>investigations</w:t>
      </w:r>
      <w:r w:rsidR="005E4DCA">
        <w:rPr>
          <w:lang w:val="en"/>
        </w:rPr>
        <w:t xml:space="preserve"> </w:t>
      </w:r>
      <w:r w:rsidR="005E4DCA">
        <w:rPr>
          <w:rStyle w:val="hps"/>
          <w:lang w:val="en"/>
        </w:rPr>
        <w:t>in</w:t>
      </w:r>
      <w:r w:rsidR="005E4DCA">
        <w:rPr>
          <w:lang w:val="en"/>
        </w:rPr>
        <w:t xml:space="preserve"> </w:t>
      </w:r>
      <w:r w:rsidR="005E4DCA">
        <w:rPr>
          <w:rStyle w:val="hps"/>
          <w:lang w:val="en"/>
        </w:rPr>
        <w:t>quality of life</w:t>
      </w:r>
      <w:r w:rsidR="005E4DCA">
        <w:rPr>
          <w:lang w:val="en"/>
        </w:rPr>
        <w:t xml:space="preserve"> </w:t>
      </w:r>
      <w:r w:rsidR="005E4DCA">
        <w:rPr>
          <w:rStyle w:val="hps"/>
          <w:lang w:val="en"/>
        </w:rPr>
        <w:t>only 14</w:t>
      </w:r>
      <w:r w:rsidR="005E4DCA">
        <w:rPr>
          <w:lang w:val="en"/>
        </w:rPr>
        <w:t xml:space="preserve"> </w:t>
      </w:r>
      <w:r w:rsidR="005E4DCA">
        <w:rPr>
          <w:rStyle w:val="hps"/>
          <w:lang w:val="en"/>
        </w:rPr>
        <w:t>completed the protocol</w:t>
      </w:r>
      <w:r w:rsidR="005E4DCA">
        <w:rPr>
          <w:lang w:val="en"/>
        </w:rPr>
        <w:t xml:space="preserve"> </w:t>
      </w:r>
      <w:r w:rsidR="005E4DCA">
        <w:rPr>
          <w:rStyle w:val="hps"/>
          <w:lang w:val="en"/>
        </w:rPr>
        <w:t>and included</w:t>
      </w:r>
      <w:r w:rsidR="005E4DCA">
        <w:rPr>
          <w:lang w:val="en"/>
        </w:rPr>
        <w:t xml:space="preserve"> </w:t>
      </w:r>
      <w:r w:rsidR="005E4DCA">
        <w:rPr>
          <w:rStyle w:val="hps"/>
          <w:lang w:val="en"/>
        </w:rPr>
        <w:t>2013</w:t>
      </w:r>
      <w:r w:rsidR="005E4DCA">
        <w:rPr>
          <w:lang w:val="en"/>
        </w:rPr>
        <w:t xml:space="preserve"> </w:t>
      </w:r>
      <w:r w:rsidR="005E4DCA">
        <w:rPr>
          <w:rStyle w:val="hps"/>
          <w:lang w:val="en"/>
        </w:rPr>
        <w:t>infected</w:t>
      </w:r>
      <w:r w:rsidR="005E4DCA">
        <w:rPr>
          <w:lang w:val="en"/>
        </w:rPr>
        <w:t xml:space="preserve">. </w:t>
      </w:r>
      <w:r w:rsidR="005E4DCA">
        <w:rPr>
          <w:rStyle w:val="hps"/>
          <w:lang w:val="en"/>
        </w:rPr>
        <w:t>Infectious diseases</w:t>
      </w:r>
      <w:r w:rsidR="005E4DCA">
        <w:rPr>
          <w:lang w:val="en"/>
        </w:rPr>
        <w:t xml:space="preserve"> </w:t>
      </w:r>
      <w:r w:rsidR="005E4DCA">
        <w:rPr>
          <w:rStyle w:val="hps"/>
          <w:lang w:val="en"/>
        </w:rPr>
        <w:t>studied were</w:t>
      </w:r>
      <w:r w:rsidR="005E4DCA">
        <w:rPr>
          <w:lang w:val="en"/>
        </w:rPr>
        <w:t xml:space="preserve"> </w:t>
      </w:r>
      <w:r w:rsidR="005E4DCA">
        <w:rPr>
          <w:rStyle w:val="hps"/>
          <w:lang w:val="en"/>
        </w:rPr>
        <w:t>HIV/AIDS</w:t>
      </w:r>
      <w:r w:rsidR="005E4DCA">
        <w:rPr>
          <w:lang w:val="en"/>
        </w:rPr>
        <w:t xml:space="preserve"> </w:t>
      </w:r>
      <w:r w:rsidR="005E4DCA">
        <w:rPr>
          <w:rStyle w:val="hps"/>
          <w:lang w:val="en"/>
        </w:rPr>
        <w:t>(47.6</w:t>
      </w:r>
      <w:r w:rsidR="005E4DCA">
        <w:rPr>
          <w:lang w:val="en"/>
        </w:rPr>
        <w:t xml:space="preserve">%), </w:t>
      </w:r>
      <w:r w:rsidR="005E4DCA">
        <w:rPr>
          <w:rStyle w:val="hps"/>
          <w:lang w:val="en"/>
        </w:rPr>
        <w:t>leprosy</w:t>
      </w:r>
      <w:r w:rsidR="005E4DCA">
        <w:rPr>
          <w:lang w:val="en"/>
        </w:rPr>
        <w:t xml:space="preserve"> </w:t>
      </w:r>
      <w:r w:rsidR="005E4DCA">
        <w:rPr>
          <w:rStyle w:val="hps"/>
          <w:lang w:val="en"/>
        </w:rPr>
        <w:t>(17.8</w:t>
      </w:r>
      <w:r w:rsidR="005E4DCA">
        <w:rPr>
          <w:lang w:val="en"/>
        </w:rPr>
        <w:t xml:space="preserve">%), </w:t>
      </w:r>
      <w:r w:rsidR="005E4DCA">
        <w:rPr>
          <w:rStyle w:val="hps"/>
          <w:lang w:val="en"/>
        </w:rPr>
        <w:t>hepatitis</w:t>
      </w:r>
      <w:r w:rsidR="005E4DCA">
        <w:rPr>
          <w:lang w:val="en"/>
        </w:rPr>
        <w:t xml:space="preserve"> </w:t>
      </w:r>
      <w:r w:rsidR="005E4DCA">
        <w:rPr>
          <w:rStyle w:val="hps"/>
          <w:lang w:val="en"/>
        </w:rPr>
        <w:t>B</w:t>
      </w:r>
      <w:r w:rsidR="005E4DCA">
        <w:rPr>
          <w:lang w:val="en"/>
        </w:rPr>
        <w:t xml:space="preserve"> </w:t>
      </w:r>
      <w:r w:rsidR="005E4DCA">
        <w:rPr>
          <w:rStyle w:val="hps"/>
          <w:lang w:val="en"/>
        </w:rPr>
        <w:t>(16.7</w:t>
      </w:r>
      <w:r w:rsidR="005E4DCA">
        <w:rPr>
          <w:lang w:val="en"/>
        </w:rPr>
        <w:t xml:space="preserve">%), </w:t>
      </w:r>
      <w:r w:rsidR="005E4DCA">
        <w:rPr>
          <w:rStyle w:val="hps"/>
          <w:lang w:val="en"/>
        </w:rPr>
        <w:t>hepatitis</w:t>
      </w:r>
      <w:r w:rsidR="005E4DCA">
        <w:rPr>
          <w:lang w:val="en"/>
        </w:rPr>
        <w:t xml:space="preserve"> </w:t>
      </w:r>
      <w:r w:rsidR="005E4DCA">
        <w:rPr>
          <w:rStyle w:val="hps"/>
          <w:lang w:val="en"/>
        </w:rPr>
        <w:t>C</w:t>
      </w:r>
      <w:r w:rsidR="005E4DCA">
        <w:rPr>
          <w:lang w:val="en"/>
        </w:rPr>
        <w:t xml:space="preserve"> </w:t>
      </w:r>
      <w:r w:rsidR="005E4DCA">
        <w:rPr>
          <w:rStyle w:val="hps"/>
          <w:lang w:val="en"/>
        </w:rPr>
        <w:t>(8.1%</w:t>
      </w:r>
      <w:r w:rsidR="005E4DCA">
        <w:rPr>
          <w:lang w:val="en"/>
        </w:rPr>
        <w:t xml:space="preserve">) </w:t>
      </w:r>
      <w:proofErr w:type="spellStart"/>
      <w:r w:rsidR="005E4DCA">
        <w:rPr>
          <w:rStyle w:val="hps"/>
          <w:lang w:val="en"/>
        </w:rPr>
        <w:t>Chagas</w:t>
      </w:r>
      <w:proofErr w:type="spellEnd"/>
      <w:r w:rsidR="005E4DCA">
        <w:rPr>
          <w:lang w:val="en"/>
        </w:rPr>
        <w:t xml:space="preserve"> </w:t>
      </w:r>
      <w:r w:rsidR="005E4DCA">
        <w:rPr>
          <w:rStyle w:val="hps"/>
          <w:lang w:val="en"/>
        </w:rPr>
        <w:t>(5.5</w:t>
      </w:r>
      <w:r w:rsidR="005E4DCA">
        <w:rPr>
          <w:lang w:val="en"/>
        </w:rPr>
        <w:t xml:space="preserve">%) </w:t>
      </w:r>
      <w:r w:rsidR="005E4DCA">
        <w:rPr>
          <w:rStyle w:val="hps"/>
          <w:lang w:val="en"/>
        </w:rPr>
        <w:t>and</w:t>
      </w:r>
      <w:r w:rsidR="005E4DCA">
        <w:rPr>
          <w:lang w:val="en"/>
        </w:rPr>
        <w:t xml:space="preserve"> </w:t>
      </w:r>
      <w:r w:rsidR="005E4DCA">
        <w:rPr>
          <w:rStyle w:val="hps"/>
          <w:lang w:val="en"/>
        </w:rPr>
        <w:t>HTLV</w:t>
      </w:r>
      <w:r w:rsidR="005E4DCA">
        <w:rPr>
          <w:rStyle w:val="atn"/>
          <w:lang w:val="en"/>
        </w:rPr>
        <w:t>-</w:t>
      </w:r>
      <w:r w:rsidR="005E4DCA">
        <w:rPr>
          <w:rStyle w:val="hps"/>
          <w:lang w:val="en"/>
        </w:rPr>
        <w:t>1 (</w:t>
      </w:r>
      <w:r w:rsidR="005E4DCA">
        <w:rPr>
          <w:lang w:val="en"/>
        </w:rPr>
        <w:t xml:space="preserve">4.4%). </w:t>
      </w:r>
      <w:r w:rsidR="005E4DCA">
        <w:rPr>
          <w:rStyle w:val="hps"/>
          <w:lang w:val="en"/>
        </w:rPr>
        <w:t>The</w:t>
      </w:r>
      <w:r w:rsidR="005E4DCA">
        <w:rPr>
          <w:lang w:val="en"/>
        </w:rPr>
        <w:t xml:space="preserve"> </w:t>
      </w:r>
      <w:r w:rsidR="005E4DCA">
        <w:rPr>
          <w:rStyle w:val="hps"/>
          <w:lang w:val="en"/>
        </w:rPr>
        <w:t>physical, psychological</w:t>
      </w:r>
      <w:r w:rsidR="005E4DCA">
        <w:rPr>
          <w:lang w:val="en"/>
        </w:rPr>
        <w:t xml:space="preserve"> </w:t>
      </w:r>
      <w:r w:rsidR="005E4DCA">
        <w:rPr>
          <w:rStyle w:val="hps"/>
          <w:lang w:val="en"/>
        </w:rPr>
        <w:t>and environmental</w:t>
      </w:r>
      <w:r w:rsidR="005E4DCA">
        <w:rPr>
          <w:lang w:val="en"/>
        </w:rPr>
        <w:t xml:space="preserve"> </w:t>
      </w:r>
      <w:r w:rsidR="0062715F">
        <w:rPr>
          <w:lang w:val="en"/>
        </w:rPr>
        <w:t xml:space="preserve">health </w:t>
      </w:r>
      <w:r w:rsidR="005E4DCA">
        <w:rPr>
          <w:rStyle w:val="hps"/>
          <w:lang w:val="en"/>
        </w:rPr>
        <w:t>were better in</w:t>
      </w:r>
      <w:r w:rsidR="005E4DCA">
        <w:rPr>
          <w:lang w:val="en"/>
        </w:rPr>
        <w:t xml:space="preserve"> </w:t>
      </w:r>
      <w:r w:rsidR="005E4DCA">
        <w:rPr>
          <w:rStyle w:val="hps"/>
          <w:lang w:val="en"/>
        </w:rPr>
        <w:t>HIV/AIDS</w:t>
      </w:r>
      <w:r w:rsidR="005E4DCA">
        <w:rPr>
          <w:lang w:val="en"/>
        </w:rPr>
        <w:t xml:space="preserve"> </w:t>
      </w:r>
      <w:r w:rsidR="005E4DCA">
        <w:rPr>
          <w:rStyle w:val="hps"/>
          <w:lang w:val="en"/>
        </w:rPr>
        <w:t>and worst</w:t>
      </w:r>
      <w:r w:rsidR="005E4DCA">
        <w:rPr>
          <w:lang w:val="en"/>
        </w:rPr>
        <w:t xml:space="preserve"> </w:t>
      </w:r>
      <w:r w:rsidR="005E4DCA">
        <w:rPr>
          <w:rStyle w:val="hps"/>
          <w:lang w:val="en"/>
        </w:rPr>
        <w:t>in</w:t>
      </w:r>
      <w:r w:rsidR="005E4DCA">
        <w:rPr>
          <w:lang w:val="en"/>
        </w:rPr>
        <w:t xml:space="preserve"> </w:t>
      </w:r>
      <w:r w:rsidR="005E4DCA">
        <w:rPr>
          <w:rStyle w:val="hps"/>
          <w:lang w:val="en"/>
        </w:rPr>
        <w:t>leprosy</w:t>
      </w:r>
      <w:r w:rsidR="005E4DCA">
        <w:rPr>
          <w:lang w:val="en"/>
        </w:rPr>
        <w:t xml:space="preserve">, </w:t>
      </w:r>
      <w:r w:rsidR="005E4DCA">
        <w:rPr>
          <w:rStyle w:val="hps"/>
          <w:lang w:val="en"/>
        </w:rPr>
        <w:t>while</w:t>
      </w:r>
      <w:r w:rsidR="005E4DCA">
        <w:rPr>
          <w:lang w:val="en"/>
        </w:rPr>
        <w:t xml:space="preserve"> </w:t>
      </w:r>
      <w:r w:rsidR="005E4DCA">
        <w:rPr>
          <w:rStyle w:val="hps"/>
          <w:lang w:val="en"/>
        </w:rPr>
        <w:t>social relationships</w:t>
      </w:r>
      <w:r w:rsidR="005E4DCA">
        <w:rPr>
          <w:lang w:val="en"/>
        </w:rPr>
        <w:t xml:space="preserve"> </w:t>
      </w:r>
      <w:r w:rsidR="005E4DCA">
        <w:rPr>
          <w:rStyle w:val="hps"/>
          <w:lang w:val="en"/>
        </w:rPr>
        <w:t>had</w:t>
      </w:r>
      <w:r w:rsidR="005E4DCA">
        <w:rPr>
          <w:lang w:val="en"/>
        </w:rPr>
        <w:t xml:space="preserve"> </w:t>
      </w:r>
      <w:r w:rsidR="005E4DCA">
        <w:rPr>
          <w:rStyle w:val="hps"/>
          <w:lang w:val="en"/>
        </w:rPr>
        <w:t>the highest score</w:t>
      </w:r>
      <w:r w:rsidR="005E4DCA">
        <w:rPr>
          <w:lang w:val="en"/>
        </w:rPr>
        <w:t xml:space="preserve"> </w:t>
      </w:r>
      <w:r w:rsidR="005E4DCA">
        <w:rPr>
          <w:rStyle w:val="hps"/>
          <w:lang w:val="en"/>
        </w:rPr>
        <w:t>among</w:t>
      </w:r>
      <w:r w:rsidR="005E4DCA">
        <w:rPr>
          <w:lang w:val="en"/>
        </w:rPr>
        <w:t xml:space="preserve"> </w:t>
      </w:r>
      <w:r w:rsidR="005E4DCA">
        <w:rPr>
          <w:rStyle w:val="hps"/>
          <w:lang w:val="en"/>
        </w:rPr>
        <w:t>those infected with</w:t>
      </w:r>
      <w:r w:rsidR="005E4DCA">
        <w:rPr>
          <w:lang w:val="en"/>
        </w:rPr>
        <w:t xml:space="preserve"> </w:t>
      </w:r>
      <w:r w:rsidR="005E4DCA">
        <w:rPr>
          <w:rStyle w:val="hps"/>
          <w:lang w:val="en"/>
        </w:rPr>
        <w:t>Hepatitis</w:t>
      </w:r>
      <w:r w:rsidR="005E4DCA">
        <w:rPr>
          <w:lang w:val="en"/>
        </w:rPr>
        <w:t xml:space="preserve"> </w:t>
      </w:r>
      <w:r w:rsidR="005E4DCA">
        <w:rPr>
          <w:rStyle w:val="hps"/>
          <w:lang w:val="en"/>
        </w:rPr>
        <w:t>B</w:t>
      </w:r>
      <w:r w:rsidR="005E4DCA">
        <w:rPr>
          <w:lang w:val="en"/>
        </w:rPr>
        <w:t xml:space="preserve"> </w:t>
      </w:r>
      <w:r w:rsidR="005E4DCA">
        <w:rPr>
          <w:rStyle w:val="hps"/>
          <w:lang w:val="en"/>
        </w:rPr>
        <w:t>or</w:t>
      </w:r>
      <w:r w:rsidR="005E4DCA">
        <w:rPr>
          <w:lang w:val="en"/>
        </w:rPr>
        <w:t xml:space="preserve"> </w:t>
      </w:r>
      <w:r w:rsidR="005E4DCA">
        <w:rPr>
          <w:rStyle w:val="hps"/>
          <w:lang w:val="en"/>
        </w:rPr>
        <w:t>C</w:t>
      </w:r>
      <w:r w:rsidR="005E4DCA">
        <w:rPr>
          <w:lang w:val="en"/>
        </w:rPr>
        <w:t xml:space="preserve"> </w:t>
      </w:r>
      <w:r w:rsidR="005E4DCA">
        <w:rPr>
          <w:rStyle w:val="hps"/>
          <w:lang w:val="en"/>
        </w:rPr>
        <w:t>and lower in</w:t>
      </w:r>
      <w:r w:rsidR="005E4DCA">
        <w:rPr>
          <w:lang w:val="en"/>
        </w:rPr>
        <w:t xml:space="preserve"> </w:t>
      </w:r>
      <w:r w:rsidR="005E4DCA">
        <w:rPr>
          <w:rStyle w:val="hps"/>
          <w:lang w:val="en"/>
        </w:rPr>
        <w:t>those living with HIV</w:t>
      </w:r>
      <w:r w:rsidR="005E4DCA">
        <w:rPr>
          <w:lang w:val="en"/>
        </w:rPr>
        <w:t xml:space="preserve"> </w:t>
      </w:r>
      <w:r w:rsidR="005E4DCA">
        <w:rPr>
          <w:rStyle w:val="hps"/>
          <w:lang w:val="en"/>
        </w:rPr>
        <w:t>/</w:t>
      </w:r>
      <w:r w:rsidR="005E4DCA">
        <w:rPr>
          <w:lang w:val="en"/>
        </w:rPr>
        <w:t xml:space="preserve"> </w:t>
      </w:r>
      <w:r w:rsidR="005E4DCA">
        <w:rPr>
          <w:rStyle w:val="hps"/>
          <w:lang w:val="en"/>
        </w:rPr>
        <w:t>AIDS</w:t>
      </w:r>
      <w:r w:rsidR="005E4DCA">
        <w:rPr>
          <w:rStyle w:val="hps"/>
          <w:lang w:val="en"/>
        </w:rPr>
        <w:t>.</w:t>
      </w:r>
    </w:p>
    <w:p w:rsidR="00E357EB" w:rsidRDefault="006D0572" w:rsidP="006A48D0">
      <w:pPr>
        <w:rPr>
          <w:rFonts w:eastAsia="Times New Roman"/>
          <w:lang w:val="en-US"/>
        </w:rPr>
      </w:pPr>
      <w:r w:rsidRPr="00597A06">
        <w:rPr>
          <w:rFonts w:eastAsia="Times New Roman"/>
          <w:b/>
          <w:lang w:val="en-US"/>
        </w:rPr>
        <w:t>Conclusion</w:t>
      </w:r>
      <w:r w:rsidRPr="00E6206F">
        <w:rPr>
          <w:rFonts w:eastAsia="Times New Roman"/>
          <w:lang w:val="en-US"/>
        </w:rPr>
        <w:t>:</w:t>
      </w:r>
      <w:r w:rsidR="005E4DCA" w:rsidRPr="005E4DCA">
        <w:rPr>
          <w:rStyle w:val="hps"/>
          <w:lang w:val="en"/>
        </w:rPr>
        <w:t xml:space="preserve"> </w:t>
      </w:r>
      <w:r w:rsidR="005E4DCA">
        <w:rPr>
          <w:rStyle w:val="hps"/>
          <w:lang w:val="en"/>
        </w:rPr>
        <w:t>The study</w:t>
      </w:r>
      <w:r w:rsidR="005E4DCA">
        <w:rPr>
          <w:lang w:val="en"/>
        </w:rPr>
        <w:t xml:space="preserve"> </w:t>
      </w:r>
      <w:r w:rsidR="005E4DCA">
        <w:rPr>
          <w:rStyle w:val="hps"/>
          <w:lang w:val="en"/>
        </w:rPr>
        <w:t>demonstrates the</w:t>
      </w:r>
      <w:r w:rsidR="005E4DCA">
        <w:rPr>
          <w:lang w:val="en"/>
        </w:rPr>
        <w:t xml:space="preserve"> </w:t>
      </w:r>
      <w:r w:rsidR="005E4DCA">
        <w:rPr>
          <w:rStyle w:val="hps"/>
          <w:lang w:val="en"/>
        </w:rPr>
        <w:t>relevance of</w:t>
      </w:r>
      <w:r w:rsidR="005E4DCA">
        <w:rPr>
          <w:lang w:val="en"/>
        </w:rPr>
        <w:t xml:space="preserve"> </w:t>
      </w:r>
      <w:r w:rsidR="005E4DCA">
        <w:rPr>
          <w:rStyle w:val="hps"/>
          <w:lang w:val="en"/>
        </w:rPr>
        <w:t>assessing the quality of</w:t>
      </w:r>
      <w:r w:rsidR="005E4DCA">
        <w:rPr>
          <w:lang w:val="en"/>
        </w:rPr>
        <w:t xml:space="preserve"> </w:t>
      </w:r>
      <w:r w:rsidR="005E4DCA">
        <w:rPr>
          <w:rStyle w:val="hps"/>
          <w:lang w:val="en"/>
        </w:rPr>
        <w:t>life with</w:t>
      </w:r>
      <w:r w:rsidR="005E4DCA">
        <w:rPr>
          <w:lang w:val="en"/>
        </w:rPr>
        <w:t xml:space="preserve"> </w:t>
      </w:r>
      <w:r w:rsidR="005E4DCA">
        <w:rPr>
          <w:rStyle w:val="hps"/>
          <w:lang w:val="en"/>
        </w:rPr>
        <w:t>WHOQOLBREF</w:t>
      </w:r>
      <w:r w:rsidR="005E4DCA">
        <w:rPr>
          <w:lang w:val="en"/>
        </w:rPr>
        <w:t xml:space="preserve"> </w:t>
      </w:r>
      <w:r w:rsidR="005E4DCA">
        <w:rPr>
          <w:rStyle w:val="hps"/>
          <w:lang w:val="en"/>
        </w:rPr>
        <w:t>since it</w:t>
      </w:r>
      <w:r w:rsidR="005E4DCA">
        <w:rPr>
          <w:lang w:val="en"/>
        </w:rPr>
        <w:t xml:space="preserve"> </w:t>
      </w:r>
      <w:r w:rsidR="005E4DCA">
        <w:rPr>
          <w:rStyle w:val="hps"/>
          <w:lang w:val="en"/>
        </w:rPr>
        <w:t>allows</w:t>
      </w:r>
      <w:r w:rsidR="005E4DCA">
        <w:rPr>
          <w:lang w:val="en"/>
        </w:rPr>
        <w:t xml:space="preserve"> </w:t>
      </w:r>
      <w:r w:rsidR="005E4DCA">
        <w:rPr>
          <w:rStyle w:val="hps"/>
          <w:lang w:val="en"/>
        </w:rPr>
        <w:t>cultural comparisons</w:t>
      </w:r>
      <w:r w:rsidR="005E4DCA">
        <w:rPr>
          <w:lang w:val="en"/>
        </w:rPr>
        <w:t xml:space="preserve"> </w:t>
      </w:r>
      <w:r w:rsidR="005E4DCA">
        <w:rPr>
          <w:rStyle w:val="hps"/>
          <w:lang w:val="en"/>
        </w:rPr>
        <w:t xml:space="preserve">and </w:t>
      </w:r>
      <w:r w:rsidR="0062715F">
        <w:rPr>
          <w:rStyle w:val="hps"/>
          <w:lang w:val="en"/>
        </w:rPr>
        <w:t xml:space="preserve">of </w:t>
      </w:r>
      <w:r w:rsidR="005E4DCA">
        <w:rPr>
          <w:rStyle w:val="hps"/>
          <w:lang w:val="en"/>
        </w:rPr>
        <w:t>people with</w:t>
      </w:r>
      <w:r w:rsidR="005E4DCA">
        <w:rPr>
          <w:lang w:val="en"/>
        </w:rPr>
        <w:t xml:space="preserve"> </w:t>
      </w:r>
      <w:r w:rsidR="005E4DCA">
        <w:rPr>
          <w:rStyle w:val="hps"/>
          <w:lang w:val="en"/>
        </w:rPr>
        <w:t>different</w:t>
      </w:r>
      <w:r w:rsidR="005E4DCA">
        <w:rPr>
          <w:lang w:val="en"/>
        </w:rPr>
        <w:t xml:space="preserve"> diseases, </w:t>
      </w:r>
      <w:r w:rsidR="005E4DCA">
        <w:rPr>
          <w:rStyle w:val="hps"/>
          <w:lang w:val="en"/>
        </w:rPr>
        <w:t>also facilitates the</w:t>
      </w:r>
      <w:r w:rsidR="005E4DCA">
        <w:rPr>
          <w:lang w:val="en"/>
        </w:rPr>
        <w:t xml:space="preserve"> </w:t>
      </w:r>
      <w:r w:rsidR="005E4DCA">
        <w:rPr>
          <w:rStyle w:val="hps"/>
          <w:lang w:val="en"/>
        </w:rPr>
        <w:t>identification of</w:t>
      </w:r>
      <w:r w:rsidR="005E4DCA">
        <w:rPr>
          <w:lang w:val="en"/>
        </w:rPr>
        <w:t xml:space="preserve"> </w:t>
      </w:r>
      <w:r w:rsidR="005E4DCA">
        <w:rPr>
          <w:rStyle w:val="hps"/>
          <w:lang w:val="en"/>
        </w:rPr>
        <w:t>functional and emotional</w:t>
      </w:r>
      <w:r w:rsidR="005E4DCA">
        <w:rPr>
          <w:lang w:val="en"/>
        </w:rPr>
        <w:t xml:space="preserve"> </w:t>
      </w:r>
      <w:r w:rsidR="005E4DCA">
        <w:rPr>
          <w:rStyle w:val="hps"/>
          <w:lang w:val="en"/>
        </w:rPr>
        <w:t>problems undetected</w:t>
      </w:r>
      <w:r w:rsidR="005E4DCA">
        <w:rPr>
          <w:lang w:val="en"/>
        </w:rPr>
        <w:t xml:space="preserve"> </w:t>
      </w:r>
      <w:r w:rsidR="005E4DCA">
        <w:rPr>
          <w:rStyle w:val="hps"/>
          <w:lang w:val="en"/>
        </w:rPr>
        <w:t>in clinical evaluation</w:t>
      </w:r>
      <w:r w:rsidR="005E4DCA">
        <w:rPr>
          <w:lang w:val="en"/>
        </w:rPr>
        <w:t xml:space="preserve"> </w:t>
      </w:r>
      <w:r w:rsidR="005E4DCA">
        <w:rPr>
          <w:rStyle w:val="hps"/>
          <w:lang w:val="en"/>
        </w:rPr>
        <w:t>standard</w:t>
      </w:r>
      <w:r w:rsidR="005E4DCA">
        <w:rPr>
          <w:lang w:val="en"/>
        </w:rPr>
        <w:t xml:space="preserve">, improves </w:t>
      </w:r>
      <w:r w:rsidR="005E4DCA">
        <w:rPr>
          <w:rStyle w:val="hps"/>
          <w:lang w:val="en"/>
        </w:rPr>
        <w:t>monitoring patients</w:t>
      </w:r>
      <w:r w:rsidR="005E4DCA">
        <w:rPr>
          <w:lang w:val="en"/>
        </w:rPr>
        <w:t xml:space="preserve">, </w:t>
      </w:r>
      <w:r w:rsidR="005E4DCA">
        <w:rPr>
          <w:rStyle w:val="hps"/>
          <w:lang w:val="en"/>
        </w:rPr>
        <w:t>the</w:t>
      </w:r>
      <w:r w:rsidR="005E4DCA">
        <w:rPr>
          <w:lang w:val="en"/>
        </w:rPr>
        <w:t xml:space="preserve"> </w:t>
      </w:r>
      <w:r w:rsidR="005E4DCA">
        <w:rPr>
          <w:rStyle w:val="hps"/>
          <w:lang w:val="en"/>
        </w:rPr>
        <w:t>physician-patient communication</w:t>
      </w:r>
      <w:r w:rsidR="005E4DCA">
        <w:rPr>
          <w:lang w:val="en"/>
        </w:rPr>
        <w:t xml:space="preserve"> </w:t>
      </w:r>
      <w:r w:rsidR="005E4DCA">
        <w:rPr>
          <w:rStyle w:val="hps"/>
          <w:lang w:val="en"/>
        </w:rPr>
        <w:t>and</w:t>
      </w:r>
      <w:r w:rsidR="005E4DCA">
        <w:rPr>
          <w:lang w:val="en"/>
        </w:rPr>
        <w:t xml:space="preserve"> </w:t>
      </w:r>
      <w:r w:rsidR="005E4DCA">
        <w:rPr>
          <w:rStyle w:val="hps"/>
          <w:lang w:val="en"/>
        </w:rPr>
        <w:t>clinical and public health</w:t>
      </w:r>
      <w:r w:rsidR="005E4DCA">
        <w:rPr>
          <w:rStyle w:val="hps"/>
          <w:lang w:val="en"/>
        </w:rPr>
        <w:t xml:space="preserve"> </w:t>
      </w:r>
      <w:r w:rsidR="005E4DCA">
        <w:rPr>
          <w:rStyle w:val="hps"/>
          <w:lang w:val="en"/>
        </w:rPr>
        <w:t>decision</w:t>
      </w:r>
      <w:r w:rsidR="005E4DCA">
        <w:rPr>
          <w:rStyle w:val="hps"/>
          <w:lang w:val="en"/>
        </w:rPr>
        <w:t>s.</w:t>
      </w:r>
    </w:p>
    <w:p w:rsidR="00E357EB" w:rsidRDefault="006D0572" w:rsidP="006A48D0">
      <w:pPr>
        <w:rPr>
          <w:rFonts w:eastAsia="Times New Roman"/>
          <w:lang w:val="en-US"/>
        </w:rPr>
      </w:pPr>
      <w:r w:rsidRPr="00E6206F">
        <w:rPr>
          <w:rFonts w:eastAsia="Times New Roman"/>
          <w:b/>
          <w:lang w:val="en-US"/>
        </w:rPr>
        <w:lastRenderedPageBreak/>
        <w:t xml:space="preserve">Key words: </w:t>
      </w:r>
      <w:r>
        <w:rPr>
          <w:rFonts w:eastAsia="Times New Roman"/>
          <w:lang w:val="en-US"/>
        </w:rPr>
        <w:t xml:space="preserve">Quality of life, </w:t>
      </w:r>
      <w:r w:rsidR="00CD5BD2">
        <w:rPr>
          <w:rFonts w:eastAsia="Times New Roman"/>
          <w:lang w:val="en-US"/>
        </w:rPr>
        <w:t xml:space="preserve">Health, Communicable diseases, </w:t>
      </w:r>
      <w:r>
        <w:rPr>
          <w:rFonts w:eastAsia="Times New Roman"/>
          <w:lang w:val="en-US"/>
        </w:rPr>
        <w:t>World Health Organization.</w:t>
      </w:r>
    </w:p>
    <w:p w:rsidR="00E357EB" w:rsidRDefault="006D0572" w:rsidP="006A48D0">
      <w:pPr>
        <w:rPr>
          <w:lang w:val="en-US"/>
        </w:rPr>
      </w:pPr>
      <w:r w:rsidRPr="003D4311">
        <w:rPr>
          <w:lang w:val="en-US"/>
        </w:rPr>
        <w:br w:type="page"/>
      </w:r>
    </w:p>
    <w:p w:rsidR="00E357EB" w:rsidRDefault="00147FC6" w:rsidP="006A48D0">
      <w:r w:rsidRPr="002E2806">
        <w:rPr>
          <w:b/>
        </w:rPr>
        <w:lastRenderedPageBreak/>
        <w:t>INTRODUCCION</w:t>
      </w:r>
      <w:r w:rsidR="00F06173">
        <w:t>.</w:t>
      </w:r>
    </w:p>
    <w:p w:rsidR="00E357EB" w:rsidRDefault="00A2588F" w:rsidP="006A48D0">
      <w:r>
        <w:t>En la actualidad, l</w:t>
      </w:r>
      <w:r w:rsidR="00147FC6" w:rsidRPr="0090453E">
        <w:t xml:space="preserve">as entidades </w:t>
      </w:r>
      <w:r>
        <w:t xml:space="preserve">encargadas de planificar, investigar y abordar los procesos relacionados con la </w:t>
      </w:r>
      <w:r w:rsidR="00147FC6" w:rsidRPr="0090453E">
        <w:t xml:space="preserve">salud </w:t>
      </w:r>
      <w:r>
        <w:t xml:space="preserve">y la enfermedad han priorizado los tópicos relacionados con las </w:t>
      </w:r>
      <w:r w:rsidR="00147FC6" w:rsidRPr="0090453E">
        <w:t xml:space="preserve">enfermedades crónicas no transmisibles debido al incremento global en </w:t>
      </w:r>
      <w:r w:rsidR="00940CC4">
        <w:t xml:space="preserve">su </w:t>
      </w:r>
      <w:r w:rsidR="00147FC6" w:rsidRPr="0090453E">
        <w:t>morbilidad, mortalidad</w:t>
      </w:r>
      <w:r w:rsidR="00147FC6">
        <w:t>,</w:t>
      </w:r>
      <w:r w:rsidR="00147FC6" w:rsidRPr="0090453E">
        <w:t xml:space="preserve"> discapacidad y costos sanitarios </w:t>
      </w:r>
      <w:r w:rsidR="00940CC4">
        <w:t xml:space="preserve">de </w:t>
      </w:r>
      <w:r>
        <w:t>su manejo</w:t>
      </w:r>
      <w:r w:rsidR="002C37E2">
        <w:t xml:space="preserve"> </w:t>
      </w:r>
      <w:r w:rsidR="003107F7">
        <w:t>(1)</w:t>
      </w:r>
      <w:r w:rsidR="002C37E2">
        <w:t>.</w:t>
      </w:r>
      <w:r w:rsidR="00AF76DF">
        <w:t xml:space="preserve"> </w:t>
      </w:r>
      <w:r w:rsidR="00147FC6" w:rsidRPr="0090453E">
        <w:t>Una consecuencia de esta situación es que las enfermedades infecciosas pasan a ocupar un segundo plano en el programa mundial de investigaciones y desarrollo en salud</w:t>
      </w:r>
      <w:r w:rsidR="00147FC6">
        <w:t xml:space="preserve">, desconociendo que </w:t>
      </w:r>
      <w:r w:rsidR="002C37E2">
        <w:t>é</w:t>
      </w:r>
      <w:r w:rsidR="00147FC6">
        <w:t xml:space="preserve">stas </w:t>
      </w:r>
      <w:r w:rsidR="00147FC6" w:rsidRPr="0090453E">
        <w:t xml:space="preserve">obstaculizan el desarrollo </w:t>
      </w:r>
      <w:r w:rsidR="006826B2">
        <w:t xml:space="preserve">de las naciones </w:t>
      </w:r>
      <w:r w:rsidR="00147FC6">
        <w:t xml:space="preserve">y desvirtuando el enorme impacto que causan </w:t>
      </w:r>
      <w:r w:rsidR="00147FC6" w:rsidRPr="0090453E">
        <w:t xml:space="preserve">en </w:t>
      </w:r>
      <w:r w:rsidR="00DC76DC">
        <w:t xml:space="preserve">los dominios físico, psicológico, ambiental y socioeconómico de la salud poblacional, debido a su elevada </w:t>
      </w:r>
      <w:r w:rsidR="00147FC6">
        <w:t>morbilidad</w:t>
      </w:r>
      <w:r w:rsidR="00DC76DC">
        <w:t xml:space="preserve">, </w:t>
      </w:r>
      <w:r w:rsidR="00147FC6" w:rsidRPr="0090453E">
        <w:t>pérdida de productividad</w:t>
      </w:r>
      <w:r w:rsidR="00147FC6">
        <w:t xml:space="preserve"> en las personas</w:t>
      </w:r>
      <w:r w:rsidR="00147FC6" w:rsidRPr="0090453E">
        <w:t xml:space="preserve"> </w:t>
      </w:r>
      <w:r w:rsidR="00147FC6">
        <w:t xml:space="preserve">que viven </w:t>
      </w:r>
      <w:r w:rsidR="00147FC6" w:rsidRPr="0090453E">
        <w:t>e</w:t>
      </w:r>
      <w:r w:rsidR="00147FC6">
        <w:t>n</w:t>
      </w:r>
      <w:r w:rsidR="00147FC6" w:rsidRPr="0090453E">
        <w:t xml:space="preserve"> los países en desarrollo</w:t>
      </w:r>
      <w:r w:rsidR="00DC76DC">
        <w:t xml:space="preserve">, </w:t>
      </w:r>
      <w:r w:rsidR="002E3C60">
        <w:t>disminu</w:t>
      </w:r>
      <w:r w:rsidR="00DC76DC">
        <w:t>ción d</w:t>
      </w:r>
      <w:r w:rsidR="002E3C60">
        <w:t>e las expectativas de superación de la pobreza</w:t>
      </w:r>
      <w:r w:rsidR="00DC76DC">
        <w:t>, su estrecha relación con condiciones materiales de vida e higiene</w:t>
      </w:r>
      <w:r w:rsidR="00E43BD1">
        <w:t xml:space="preserve"> y la generación de </w:t>
      </w:r>
      <w:r w:rsidR="00147FC6" w:rsidRPr="0090453E">
        <w:t>desfiguraciones, discapacidades, estigma y discriminación</w:t>
      </w:r>
      <w:r w:rsidR="006826B2">
        <w:t xml:space="preserve">. Estos factores </w:t>
      </w:r>
      <w:r w:rsidR="00147FC6">
        <w:t>ha</w:t>
      </w:r>
      <w:r w:rsidR="006826B2">
        <w:t>n</w:t>
      </w:r>
      <w:r w:rsidR="00147FC6">
        <w:t xml:space="preserve"> convencido a </w:t>
      </w:r>
      <w:r w:rsidR="006826B2">
        <w:t xml:space="preserve">algunos </w:t>
      </w:r>
      <w:r w:rsidR="00147FC6">
        <w:t xml:space="preserve">gobiernos, organizaciones no gubernamentales </w:t>
      </w:r>
      <w:r w:rsidR="006826B2">
        <w:t>e</w:t>
      </w:r>
      <w:r w:rsidR="00147FC6">
        <w:t xml:space="preserve"> industria</w:t>
      </w:r>
      <w:r w:rsidR="006826B2">
        <w:t>s</w:t>
      </w:r>
      <w:r w:rsidR="00147FC6">
        <w:t xml:space="preserve"> farmacéutica</w:t>
      </w:r>
      <w:r w:rsidR="006826B2">
        <w:t>s</w:t>
      </w:r>
      <w:r w:rsidR="00147FC6">
        <w:t xml:space="preserve"> </w:t>
      </w:r>
      <w:r w:rsidR="006826B2">
        <w:t xml:space="preserve">sobre la relevancia de </w:t>
      </w:r>
      <w:r w:rsidR="00147FC6">
        <w:t xml:space="preserve">invertir en el control de estas infecciones </w:t>
      </w:r>
      <w:r w:rsidR="006826B2">
        <w:t>(2-</w:t>
      </w:r>
      <w:r w:rsidR="003C1A7D">
        <w:t>3)</w:t>
      </w:r>
      <w:r w:rsidR="003754F7">
        <w:t>.</w:t>
      </w:r>
    </w:p>
    <w:p w:rsidR="00E357EB" w:rsidRDefault="00147FC6" w:rsidP="006A48D0">
      <w:r>
        <w:t xml:space="preserve">Las investigaciones en enfermedades infecciosas han generado una cantidad de información sobre aspectos relacionados con patogénesis, inmunidad, tratamiento, </w:t>
      </w:r>
      <w:r w:rsidR="002D7BB7">
        <w:t>perfiles de morbilidad y mortalidad;</w:t>
      </w:r>
      <w:r>
        <w:t xml:space="preserve"> no obstante, se ha olvidado que </w:t>
      </w:r>
      <w:r w:rsidR="002D7BB7">
        <w:t>é</w:t>
      </w:r>
      <w:r>
        <w:t>stas no s</w:t>
      </w:r>
      <w:r w:rsidR="00A2588F">
        <w:t>ó</w:t>
      </w:r>
      <w:r>
        <w:t>lo deterioran el bienestar físico sino también el psicológico y social de los infectados y con ello su calidad de vida.</w:t>
      </w:r>
    </w:p>
    <w:p w:rsidR="00D31E75" w:rsidRDefault="00147FC6" w:rsidP="006A48D0">
      <w:r w:rsidRPr="00F862F3">
        <w:t>La O</w:t>
      </w:r>
      <w:r w:rsidR="003754F7">
        <w:t xml:space="preserve">rganización </w:t>
      </w:r>
      <w:r w:rsidRPr="00F862F3">
        <w:t>M</w:t>
      </w:r>
      <w:r w:rsidR="003754F7">
        <w:t xml:space="preserve">undial de la </w:t>
      </w:r>
      <w:r w:rsidRPr="00F862F3">
        <w:t>S</w:t>
      </w:r>
      <w:r w:rsidR="003754F7">
        <w:t>alud</w:t>
      </w:r>
      <w:r w:rsidR="006D592E">
        <w:t xml:space="preserve"> (OMS)</w:t>
      </w:r>
      <w:r w:rsidR="003754F7">
        <w:t xml:space="preserve"> </w:t>
      </w:r>
      <w:r w:rsidRPr="00F862F3">
        <w:t xml:space="preserve">hace referencia a la calidad de vida </w:t>
      </w:r>
      <w:r w:rsidR="00E97554">
        <w:t>como un constructo de</w:t>
      </w:r>
      <w:r w:rsidRPr="00F862F3">
        <w:t xml:space="preserve"> las percepciones subjetivas en cuanto a las condiciones físicas, psicológicas, sociales y ambientales</w:t>
      </w:r>
      <w:r w:rsidR="006A531F">
        <w:t>; y</w:t>
      </w:r>
      <w:r w:rsidR="00D31E75">
        <w:t xml:space="preserve"> hace alusión a</w:t>
      </w:r>
      <w:r w:rsidRPr="00F862F3">
        <w:t xml:space="preserve"> </w:t>
      </w:r>
      <w:r w:rsidR="006A531F">
        <w:t>l</w:t>
      </w:r>
      <w:r w:rsidR="00E97554">
        <w:t>a calidad de vida relacionada con la salud</w:t>
      </w:r>
      <w:r w:rsidR="00C05BC6">
        <w:t xml:space="preserve"> (CVRS)</w:t>
      </w:r>
      <w:r w:rsidR="00E97554">
        <w:t xml:space="preserve">, </w:t>
      </w:r>
      <w:r w:rsidR="00D31E75">
        <w:t>como</w:t>
      </w:r>
      <w:r w:rsidR="00E97554">
        <w:t xml:space="preserve"> los cambios que la enfermedad, los </w:t>
      </w:r>
      <w:r w:rsidR="00E97554">
        <w:lastRenderedPageBreak/>
        <w:t>tratamientos y las discapacidades, producen en el estado funcional, las percepciones y las oportunidades sociales</w:t>
      </w:r>
      <w:r w:rsidR="003C1A7D">
        <w:t xml:space="preserve"> (4,5)</w:t>
      </w:r>
      <w:r w:rsidR="003754F7">
        <w:t>.</w:t>
      </w:r>
    </w:p>
    <w:p w:rsidR="00A354D3" w:rsidRDefault="00E97554" w:rsidP="006A48D0">
      <w:pPr>
        <w:rPr>
          <w:color w:val="231F20"/>
        </w:rPr>
      </w:pPr>
      <w:r w:rsidRPr="00CE441E">
        <w:t xml:space="preserve">La medición de la </w:t>
      </w:r>
      <w:r w:rsidR="002D7BB7">
        <w:t>CVRS</w:t>
      </w:r>
      <w:r w:rsidRPr="00CE441E">
        <w:t xml:space="preserve"> es un fenómeno emergente en la literatura médica </w:t>
      </w:r>
      <w:r w:rsidR="00CE441E" w:rsidRPr="00CE441E">
        <w:t xml:space="preserve">y </w:t>
      </w:r>
      <w:r w:rsidR="00CE441E">
        <w:t xml:space="preserve">es </w:t>
      </w:r>
      <w:r w:rsidR="00CE441E" w:rsidRPr="00CE441E">
        <w:t xml:space="preserve">particularmente </w:t>
      </w:r>
      <w:r w:rsidR="00CE441E">
        <w:t xml:space="preserve">importante </w:t>
      </w:r>
      <w:r w:rsidR="00CE441E" w:rsidRPr="00CE441E">
        <w:t xml:space="preserve">en las enfermedades infecciosas </w:t>
      </w:r>
      <w:r w:rsidR="00CE441E">
        <w:t xml:space="preserve">porque </w:t>
      </w:r>
      <w:r w:rsidR="00153778">
        <w:t xml:space="preserve">ésta </w:t>
      </w:r>
      <w:r w:rsidR="00D31E75">
        <w:t>puede</w:t>
      </w:r>
      <w:r w:rsidR="00CE441E" w:rsidRPr="00CE441E">
        <w:t xml:space="preserve"> condicionar la adherencia terapéutica, la</w:t>
      </w:r>
      <w:r w:rsidR="00CE441E">
        <w:t xml:space="preserve"> </w:t>
      </w:r>
      <w:r w:rsidR="00CE441E" w:rsidRPr="00CE441E">
        <w:t>forma de percibir la enfermedad, el desarrollo de enfermedades concomitantes y la progresión o</w:t>
      </w:r>
      <w:r w:rsidR="00CE441E">
        <w:t xml:space="preserve"> </w:t>
      </w:r>
      <w:r w:rsidR="00CE441E" w:rsidRPr="00CE441E">
        <w:t>curso de la infección</w:t>
      </w:r>
      <w:r w:rsidR="003C1A7D">
        <w:t xml:space="preserve"> (6)</w:t>
      </w:r>
      <w:r w:rsidR="00A354D3">
        <w:t>.</w:t>
      </w:r>
      <w:r w:rsidR="007C7C84" w:rsidRPr="00CE441E">
        <w:t xml:space="preserve"> En este sentido, se han desarrollado </w:t>
      </w:r>
      <w:r w:rsidR="0084032C" w:rsidRPr="00CE441E">
        <w:t xml:space="preserve">instrumentos </w:t>
      </w:r>
      <w:r w:rsidR="007C7C84" w:rsidRPr="00CE441E">
        <w:t xml:space="preserve">genéricos y específicos </w:t>
      </w:r>
      <w:r w:rsidR="0084032C" w:rsidRPr="00CE441E">
        <w:t xml:space="preserve">para evaluar las dimensiones que integran la </w:t>
      </w:r>
      <w:r w:rsidR="002D7BB7">
        <w:t>CVRS</w:t>
      </w:r>
      <w:r w:rsidR="00153778">
        <w:t xml:space="preserve">, los primeros </w:t>
      </w:r>
      <w:r w:rsidR="00437475">
        <w:t>son aplicables a poblaciones</w:t>
      </w:r>
      <w:r w:rsidR="002D7BB7">
        <w:t xml:space="preserve"> sanas y enfermas</w:t>
      </w:r>
      <w:r w:rsidR="00437475">
        <w:t xml:space="preserve">, </w:t>
      </w:r>
      <w:r w:rsidR="002D7BB7">
        <w:t xml:space="preserve">mientras que </w:t>
      </w:r>
      <w:r w:rsidR="00437475">
        <w:t>los segundos s</w:t>
      </w:r>
      <w:r w:rsidR="002D7BB7">
        <w:t>ó</w:t>
      </w:r>
      <w:r w:rsidR="00437475">
        <w:t>lo a persona</w:t>
      </w:r>
      <w:r w:rsidR="00A354D3">
        <w:t>s con una enfermedad específica</w:t>
      </w:r>
      <w:r w:rsidR="00437475">
        <w:t xml:space="preserve"> (7)</w:t>
      </w:r>
      <w:r w:rsidR="00A354D3">
        <w:t>.</w:t>
      </w:r>
      <w:r w:rsidR="00B45916">
        <w:t xml:space="preserve"> </w:t>
      </w:r>
      <w:r w:rsidR="007C7C84">
        <w:t>L</w:t>
      </w:r>
      <w:r w:rsidR="007C7C84" w:rsidRPr="0066080D">
        <w:t xml:space="preserve">as medidas específicas de </w:t>
      </w:r>
      <w:r w:rsidR="00B45916">
        <w:t>CVRS</w:t>
      </w:r>
      <w:r w:rsidR="007C7C84">
        <w:t xml:space="preserve"> son muy</w:t>
      </w:r>
      <w:r w:rsidR="007C7C84" w:rsidRPr="0066080D">
        <w:t xml:space="preserve"> sensibles para detectar cambios y particularida</w:t>
      </w:r>
      <w:r w:rsidR="007C7C84">
        <w:t xml:space="preserve">des asociadas a cada </w:t>
      </w:r>
      <w:r w:rsidR="00B45916">
        <w:t>enfermedad;</w:t>
      </w:r>
      <w:r w:rsidR="007C7C84" w:rsidRPr="0066080D">
        <w:t xml:space="preserve"> </w:t>
      </w:r>
      <w:r w:rsidR="007C7C84">
        <w:t>sin embargo</w:t>
      </w:r>
      <w:r w:rsidR="007C7C84" w:rsidRPr="0066080D">
        <w:t>, presenta</w:t>
      </w:r>
      <w:r w:rsidR="006A531F">
        <w:t>n</w:t>
      </w:r>
      <w:r w:rsidR="007C7C84" w:rsidRPr="0066080D">
        <w:t xml:space="preserve"> las desventajas de restringir la capacidad para</w:t>
      </w:r>
      <w:r w:rsidR="006A531F">
        <w:t xml:space="preserve"> detectar efectos imprevistos</w:t>
      </w:r>
      <w:r w:rsidR="00EB0F97">
        <w:t>, no es posible administrarla</w:t>
      </w:r>
      <w:r w:rsidR="007C7C84" w:rsidRPr="0066080D">
        <w:t xml:space="preserve">s a sujetos o poblaciones que no padezcan la enfermedad y los resultados no son comparables con personas con otras entidades clínicas </w:t>
      </w:r>
      <w:r w:rsidR="00F5473C">
        <w:t>ni con población general</w:t>
      </w:r>
      <w:r w:rsidR="008F79F2">
        <w:t>; por ello, en la literatura es muy frecuente hallar estudios en poblaciones enfermas que emplean escalas genéricas, las cuales presentan la ventaja de</w:t>
      </w:r>
      <w:r w:rsidR="00B05EA6">
        <w:t xml:space="preserve"> permitir evaluar </w:t>
      </w:r>
      <w:r w:rsidR="00B45916">
        <w:t xml:space="preserve">y comparar </w:t>
      </w:r>
      <w:r w:rsidR="00B05EA6">
        <w:t>poblaciones con diferentes diagnósticos</w:t>
      </w:r>
      <w:r w:rsidR="008F79F2">
        <w:t xml:space="preserve"> </w:t>
      </w:r>
      <w:r w:rsidR="004C0CF3">
        <w:rPr>
          <w:color w:val="231F20"/>
        </w:rPr>
        <w:t>(8)</w:t>
      </w:r>
      <w:r w:rsidR="00A354D3">
        <w:rPr>
          <w:color w:val="231F20"/>
        </w:rPr>
        <w:t>.</w:t>
      </w:r>
    </w:p>
    <w:p w:rsidR="00E357EB" w:rsidRPr="00597A06" w:rsidRDefault="002011A9" w:rsidP="006A48D0">
      <w:r w:rsidRPr="00597A06">
        <w:t>En este contexto, la OMS</w:t>
      </w:r>
      <w:r w:rsidR="004C0CF3" w:rsidRPr="00597A06">
        <w:t xml:space="preserve"> </w:t>
      </w:r>
      <w:r w:rsidRPr="00597A06">
        <w:t>desarrolló</w:t>
      </w:r>
      <w:r w:rsidR="007F0C51" w:rsidRPr="00597A06">
        <w:t xml:space="preserve"> entre las décadas 80 y 90 el WHOQOL 100 como </w:t>
      </w:r>
      <w:r w:rsidRPr="00597A06">
        <w:t xml:space="preserve">un </w:t>
      </w:r>
      <w:r w:rsidR="007F0C51" w:rsidRPr="00597A06">
        <w:t>instrumento para medir la</w:t>
      </w:r>
      <w:r w:rsidRPr="00597A06">
        <w:t xml:space="preserve"> </w:t>
      </w:r>
      <w:r w:rsidR="004C0CF3" w:rsidRPr="00597A06">
        <w:t>calidad de vida</w:t>
      </w:r>
      <w:r w:rsidR="007F0C51" w:rsidRPr="00597A06">
        <w:t>. Es</w:t>
      </w:r>
      <w:r w:rsidR="00B05EA6" w:rsidRPr="00597A06">
        <w:t>t</w:t>
      </w:r>
      <w:r w:rsidR="007F0C51" w:rsidRPr="00597A06">
        <w:t xml:space="preserve">e instrumento </w:t>
      </w:r>
      <w:r w:rsidR="00066586" w:rsidRPr="00597A06">
        <w:t xml:space="preserve">incluye 100 </w:t>
      </w:r>
      <w:r w:rsidR="006D592E">
        <w:t xml:space="preserve">preguntas </w:t>
      </w:r>
      <w:r w:rsidR="00066586" w:rsidRPr="00597A06">
        <w:t>distribuidos en 6 dimensiones d</w:t>
      </w:r>
      <w:r w:rsidR="007F0C51" w:rsidRPr="00597A06">
        <w:t>iferentes</w:t>
      </w:r>
      <w:r w:rsidR="00066586" w:rsidRPr="00597A06">
        <w:t>, l</w:t>
      </w:r>
      <w:r w:rsidR="007F0C51" w:rsidRPr="00597A06">
        <w:t>o que dificulta su aplicación en situaciones e</w:t>
      </w:r>
      <w:r w:rsidR="00AA55CD" w:rsidRPr="00597A06">
        <w:t xml:space="preserve">n las que el tiempo es limitado. </w:t>
      </w:r>
      <w:r w:rsidR="00227116">
        <w:t>Frente a esta limitación</w:t>
      </w:r>
      <w:r w:rsidR="00AA55CD" w:rsidRPr="00597A06">
        <w:t xml:space="preserve">, se trabajó en una versión resumida del instrumento que diera cuenta de la complejidad de la calidad de vida, pero con un menor número de </w:t>
      </w:r>
      <w:r w:rsidR="00227116">
        <w:t>preguntas</w:t>
      </w:r>
      <w:r w:rsidR="00AA55CD" w:rsidRPr="00597A06">
        <w:t>, lo que derivó en la creación del  WHOQOLBREF</w:t>
      </w:r>
      <w:r w:rsidR="00227116">
        <w:t xml:space="preserve">, </w:t>
      </w:r>
      <w:r w:rsidR="007C7C84" w:rsidRPr="00597A06">
        <w:t>un instrumento genérico</w:t>
      </w:r>
      <w:r w:rsidR="00227116">
        <w:t xml:space="preserve"> que</w:t>
      </w:r>
      <w:r w:rsidR="00B04F95" w:rsidRPr="00597A06">
        <w:t xml:space="preserve"> consta de 26 puntos </w:t>
      </w:r>
      <w:r w:rsidR="00B04F95" w:rsidRPr="00597A06">
        <w:lastRenderedPageBreak/>
        <w:t>distribuidos en 4 dimensiones</w:t>
      </w:r>
      <w:r w:rsidR="00B05EA6" w:rsidRPr="00597A06">
        <w:t>, aplicable a una amplia gama de poblacio</w:t>
      </w:r>
      <w:r w:rsidR="00C05BC6" w:rsidRPr="00597A06">
        <w:t>nes, incluida población general</w:t>
      </w:r>
      <w:r w:rsidR="00227116">
        <w:t>,</w:t>
      </w:r>
      <w:r w:rsidR="00B05EA6" w:rsidRPr="00597A06">
        <w:t xml:space="preserve"> </w:t>
      </w:r>
      <w:r w:rsidR="00227116">
        <w:t xml:space="preserve">y que </w:t>
      </w:r>
      <w:r w:rsidR="00B05EA6" w:rsidRPr="00597A06">
        <w:t>permite realizar comparaciones entre distintas enfermedades, establecer valores de referencia, identificar desviaciones en los valores esperados y utilizarse como marco de referencia para es</w:t>
      </w:r>
      <w:r w:rsidR="00767CCB">
        <w:t>tablecer objetivos terapéuticos</w:t>
      </w:r>
      <w:r w:rsidR="00B05EA6" w:rsidRPr="00597A06">
        <w:t xml:space="preserve"> (7-9)</w:t>
      </w:r>
      <w:r w:rsidR="00767CCB">
        <w:t>.</w:t>
      </w:r>
    </w:p>
    <w:p w:rsidR="00E60158" w:rsidRDefault="00E854F8" w:rsidP="006A48D0">
      <w:r>
        <w:t>A pesar de la relevancia de medir CVRS en enfermedades infecciosas y de disponer de un instrumento validado, con adaptaciones culturales y de lenguaje, y con un excelente desarrollo conceptual y psicométrico, l</w:t>
      </w:r>
      <w:r w:rsidR="0029212B">
        <w:t>o</w:t>
      </w:r>
      <w:r>
        <w:t xml:space="preserve">s </w:t>
      </w:r>
      <w:r w:rsidR="0029212B">
        <w:t>estudios</w:t>
      </w:r>
      <w:r>
        <w:t xml:space="preserve"> sobre esta temática en el ámbito mundial son exigu</w:t>
      </w:r>
      <w:r w:rsidR="0029212B">
        <w:t>o</w:t>
      </w:r>
      <w:r w:rsidR="00CC79FD">
        <w:t xml:space="preserve">s; además, </w:t>
      </w:r>
      <w:r w:rsidR="00403F58">
        <w:t>l</w:t>
      </w:r>
      <w:r w:rsidR="00596C46">
        <w:t>as investigaciones realizada</w:t>
      </w:r>
      <w:r w:rsidR="00E60158">
        <w:t xml:space="preserve">s con el WHOQOLBREF en personas con enfermedades infecciosas </w:t>
      </w:r>
      <w:r w:rsidR="00CC79FD">
        <w:t>han presentado divergencias en su</w:t>
      </w:r>
      <w:r w:rsidR="00E60158">
        <w:t xml:space="preserve">s </w:t>
      </w:r>
      <w:r w:rsidR="00CC79FD">
        <w:t xml:space="preserve">resultados y </w:t>
      </w:r>
      <w:r w:rsidR="00596C46">
        <w:t xml:space="preserve">la revisión de la literatura evidenció que no existe un estudio </w:t>
      </w:r>
      <w:r w:rsidR="00E60158">
        <w:t xml:space="preserve">que </w:t>
      </w:r>
      <w:r w:rsidR="00815A35">
        <w:t xml:space="preserve">describa </w:t>
      </w:r>
      <w:r w:rsidR="00CC79FD">
        <w:t xml:space="preserve">el perfil de </w:t>
      </w:r>
      <w:r w:rsidR="00815A35">
        <w:t xml:space="preserve">CVRS de diversas enfermedades infecciosas y </w:t>
      </w:r>
      <w:r w:rsidR="00E60158">
        <w:t xml:space="preserve">compare </w:t>
      </w:r>
      <w:r w:rsidR="00815A35">
        <w:t xml:space="preserve">su </w:t>
      </w:r>
      <w:r w:rsidR="00E60158">
        <w:t xml:space="preserve">impacto </w:t>
      </w:r>
      <w:r w:rsidR="00B04F95">
        <w:t>s</w:t>
      </w:r>
      <w:r w:rsidR="00815A35">
        <w:t xml:space="preserve">obre </w:t>
      </w:r>
      <w:r w:rsidR="00CC79FD">
        <w:t>dimensiones como la salud física, psicológica, social y ambiental</w:t>
      </w:r>
      <w:r w:rsidR="00815A35">
        <w:t>.</w:t>
      </w:r>
    </w:p>
    <w:p w:rsidR="00E357EB" w:rsidRPr="00597A06" w:rsidRDefault="00E60158" w:rsidP="006A48D0">
      <w:pPr>
        <w:pStyle w:val="NormalWeb"/>
        <w:spacing w:before="0" w:beforeAutospacing="0" w:after="0" w:afterAutospacing="0" w:line="480" w:lineRule="auto"/>
        <w:rPr>
          <w:rFonts w:ascii="Arial" w:hAnsi="Arial" w:cs="Arial"/>
        </w:rPr>
      </w:pPr>
      <w:r w:rsidRPr="00597A06">
        <w:rPr>
          <w:rFonts w:ascii="Arial" w:hAnsi="Arial" w:cs="Arial"/>
        </w:rPr>
        <w:t xml:space="preserve">En </w:t>
      </w:r>
      <w:r w:rsidR="002D7BC3">
        <w:rPr>
          <w:rFonts w:ascii="Arial" w:hAnsi="Arial" w:cs="Arial"/>
        </w:rPr>
        <w:t>coherencia con lo anterior</w:t>
      </w:r>
      <w:r w:rsidR="00596C46" w:rsidRPr="00597A06">
        <w:rPr>
          <w:rFonts w:ascii="Arial" w:hAnsi="Arial" w:cs="Arial"/>
        </w:rPr>
        <w:t>,</w:t>
      </w:r>
      <w:r w:rsidRPr="00597A06">
        <w:rPr>
          <w:rFonts w:ascii="Arial" w:hAnsi="Arial" w:cs="Arial"/>
        </w:rPr>
        <w:t xml:space="preserve"> se realizó un</w:t>
      </w:r>
      <w:r w:rsidR="00C95B09" w:rsidRPr="00597A06">
        <w:rPr>
          <w:rFonts w:ascii="Arial" w:hAnsi="Arial" w:cs="Arial"/>
        </w:rPr>
        <w:t>a revisión sistemática de la literatura</w:t>
      </w:r>
      <w:r w:rsidR="00ED4BA4" w:rsidRPr="00597A06">
        <w:rPr>
          <w:rFonts w:ascii="Arial" w:hAnsi="Arial" w:cs="Arial"/>
        </w:rPr>
        <w:t xml:space="preserve"> con el objetivo de </w:t>
      </w:r>
      <w:r w:rsidRPr="00597A06">
        <w:rPr>
          <w:rFonts w:ascii="Arial" w:hAnsi="Arial" w:cs="Arial"/>
        </w:rPr>
        <w:t xml:space="preserve">comparar la </w:t>
      </w:r>
      <w:r w:rsidR="002D7BC3">
        <w:rPr>
          <w:rFonts w:ascii="Arial" w:hAnsi="Arial" w:cs="Arial"/>
        </w:rPr>
        <w:t xml:space="preserve">CVRS </w:t>
      </w:r>
      <w:r w:rsidRPr="00597A06">
        <w:rPr>
          <w:rFonts w:ascii="Arial" w:hAnsi="Arial" w:cs="Arial"/>
        </w:rPr>
        <w:t xml:space="preserve">en </w:t>
      </w:r>
      <w:r w:rsidR="00F5473C" w:rsidRPr="00597A06">
        <w:rPr>
          <w:rFonts w:ascii="Arial" w:hAnsi="Arial" w:cs="Arial"/>
        </w:rPr>
        <w:t xml:space="preserve">sujetos con </w:t>
      </w:r>
      <w:r w:rsidRPr="00597A06">
        <w:rPr>
          <w:rFonts w:ascii="Arial" w:hAnsi="Arial" w:cs="Arial"/>
        </w:rPr>
        <w:t>enfermedades infecciosas a partir de estudios originales reportados en la literatura en el periodo 2002-2012</w:t>
      </w:r>
      <w:r w:rsidR="001A248A" w:rsidRPr="00597A06">
        <w:rPr>
          <w:rFonts w:ascii="Arial" w:hAnsi="Arial" w:cs="Arial"/>
        </w:rPr>
        <w:t>.</w:t>
      </w:r>
      <w:r w:rsidR="00ED4BA4" w:rsidRPr="00597A06">
        <w:rPr>
          <w:rFonts w:ascii="Arial" w:hAnsi="Arial" w:cs="Arial"/>
        </w:rPr>
        <w:t xml:space="preserve"> </w:t>
      </w:r>
      <w:r w:rsidR="001A248A" w:rsidRPr="00597A06">
        <w:rPr>
          <w:rFonts w:ascii="Arial" w:hAnsi="Arial" w:cs="Arial"/>
        </w:rPr>
        <w:t>E</w:t>
      </w:r>
      <w:r w:rsidR="00F5473C" w:rsidRPr="00597A06">
        <w:rPr>
          <w:rFonts w:ascii="Arial" w:hAnsi="Arial" w:cs="Arial"/>
        </w:rPr>
        <w:t>ste tipo de investigación</w:t>
      </w:r>
      <w:r w:rsidR="00ED4BA4" w:rsidRPr="00597A06">
        <w:rPr>
          <w:rFonts w:ascii="Arial" w:hAnsi="Arial" w:cs="Arial"/>
        </w:rPr>
        <w:t xml:space="preserve"> permite aumentar la validez externa de las conclusiones y recomendaciones, brinda mayor precisión en los análisis</w:t>
      </w:r>
      <w:r w:rsidR="001A248A" w:rsidRPr="00597A06">
        <w:rPr>
          <w:rFonts w:ascii="Arial" w:hAnsi="Arial" w:cs="Arial"/>
        </w:rPr>
        <w:t xml:space="preserve"> y</w:t>
      </w:r>
      <w:r w:rsidR="00ED4BA4" w:rsidRPr="00597A06">
        <w:rPr>
          <w:rFonts w:ascii="Arial" w:hAnsi="Arial" w:cs="Arial"/>
        </w:rPr>
        <w:t xml:space="preserve"> valora discrepancias entre los result</w:t>
      </w:r>
      <w:r w:rsidR="00767CCB">
        <w:rPr>
          <w:rFonts w:ascii="Arial" w:hAnsi="Arial" w:cs="Arial"/>
        </w:rPr>
        <w:t>ados de los diferentes estudios</w:t>
      </w:r>
      <w:r w:rsidR="003D7F1E" w:rsidRPr="00597A06">
        <w:rPr>
          <w:rFonts w:ascii="Arial" w:hAnsi="Arial" w:cs="Arial"/>
        </w:rPr>
        <w:t xml:space="preserve"> (10)</w:t>
      </w:r>
      <w:r w:rsidR="002D7BC3">
        <w:rPr>
          <w:rFonts w:ascii="Arial" w:hAnsi="Arial" w:cs="Arial"/>
        </w:rPr>
        <w:t>; a</w:t>
      </w:r>
      <w:r w:rsidR="00B05EA6" w:rsidRPr="00597A06">
        <w:rPr>
          <w:rFonts w:ascii="Arial" w:hAnsi="Arial" w:cs="Arial"/>
        </w:rPr>
        <w:t xml:space="preserve">dicional a ello, el conocimiento de las dimensiones de la </w:t>
      </w:r>
      <w:r w:rsidR="002D7BC3">
        <w:rPr>
          <w:rFonts w:ascii="Arial" w:hAnsi="Arial" w:cs="Arial"/>
        </w:rPr>
        <w:t>CVRS</w:t>
      </w:r>
      <w:r w:rsidR="00B05EA6" w:rsidRPr="00597A06">
        <w:rPr>
          <w:rFonts w:ascii="Arial" w:hAnsi="Arial" w:cs="Arial"/>
        </w:rPr>
        <w:t xml:space="preserve"> permite orientar la toma de decisiones médicas, desarrollar modelos de atención en salud, optimizar el uso de recursos y orientar acciones de salud pública</w:t>
      </w:r>
      <w:r w:rsidR="00767CCB">
        <w:rPr>
          <w:rFonts w:ascii="Arial" w:hAnsi="Arial" w:cs="Arial"/>
        </w:rPr>
        <w:t>.</w:t>
      </w:r>
    </w:p>
    <w:p w:rsidR="006D0572" w:rsidRPr="00767CCB" w:rsidRDefault="006D0572" w:rsidP="006A48D0">
      <w:pPr>
        <w:rPr>
          <w:b/>
        </w:rPr>
      </w:pPr>
      <w:r w:rsidRPr="00767CCB">
        <w:rPr>
          <w:b/>
        </w:rPr>
        <w:t>MATERIAL Y MÉTODOS.</w:t>
      </w:r>
    </w:p>
    <w:p w:rsidR="00E357EB" w:rsidRDefault="006D0572" w:rsidP="006A48D0">
      <w:pPr>
        <w:rPr>
          <w:b/>
        </w:rPr>
      </w:pPr>
      <w:r w:rsidRPr="003D7F1E">
        <w:rPr>
          <w:b/>
        </w:rPr>
        <w:t xml:space="preserve">Tipo de estudio: </w:t>
      </w:r>
      <w:r w:rsidRPr="003D7F1E">
        <w:t>Revisión sistemát</w:t>
      </w:r>
      <w:r w:rsidR="0056688D" w:rsidRPr="003D7F1E">
        <w:t>ica con meta-análisis</w:t>
      </w:r>
      <w:r w:rsidRPr="003D7F1E">
        <w:t>.</w:t>
      </w:r>
    </w:p>
    <w:p w:rsidR="00E357EB" w:rsidRDefault="006D0572" w:rsidP="006A48D0">
      <w:pPr>
        <w:rPr>
          <w:b/>
        </w:rPr>
      </w:pPr>
      <w:r w:rsidRPr="0066080D">
        <w:rPr>
          <w:b/>
        </w:rPr>
        <w:lastRenderedPageBreak/>
        <w:t>Instrumento de medición de calidad de vida:</w:t>
      </w:r>
      <w:r w:rsidRPr="0066080D">
        <w:t xml:space="preserve"> El WHOQOLBREF es un instrumento genérico derivado del WHOQOL-100, que consta de 26 puntos, 24 de ellos generan un perfil de calidad de vida en 4 dimensiones: salud física, psicológica, relaciones sociales y medio ambiente</w:t>
      </w:r>
      <w:r w:rsidR="00527653">
        <w:t>, en una escala de 0-20 ó 0-100, siendo 0 el peor resultado y 20 ó 100 el mejor</w:t>
      </w:r>
      <w:r w:rsidRPr="0066080D">
        <w:t xml:space="preserve">. Evalúa las percepciones del individuo en las 2 semanas previas, ha sido traducido a 19 idiomas diferentes, es aplicable a sujetos sanos y enfermos, y su puntaje ha sido utilizado para observar los cambios en la calidad de vida debido a la enfermedad, para establecer valores pronósticos de la enfermedad y para valorar algunas intervenciones (8). A diferencia de otros instrumentos genéricos de medición de calidad de vida empleados en investigación clínica y epidemiológica como el MOSSF-36 (Medical </w:t>
      </w:r>
      <w:proofErr w:type="spellStart"/>
      <w:r w:rsidRPr="0066080D">
        <w:t>Outcome</w:t>
      </w:r>
      <w:proofErr w:type="spellEnd"/>
      <w:r w:rsidR="0096016E">
        <w:t xml:space="preserve"> </w:t>
      </w:r>
      <w:proofErr w:type="spellStart"/>
      <w:r w:rsidRPr="0066080D">
        <w:t>Study</w:t>
      </w:r>
      <w:proofErr w:type="spellEnd"/>
      <w:r w:rsidRPr="0066080D">
        <w:t xml:space="preserve"> Short </w:t>
      </w:r>
      <w:proofErr w:type="spellStart"/>
      <w:r w:rsidRPr="0066080D">
        <w:t>Form</w:t>
      </w:r>
      <w:proofErr w:type="spellEnd"/>
      <w:r w:rsidRPr="0066080D">
        <w:t>), el WHOQOLBREF no se centra en aspectos funcionales sino en el grado de satisfacción que el individuo tiene frente a diversas situaciones de su cotidianidad, por lo que es la escala con mayor solidez conceptual y metodológica</w:t>
      </w:r>
      <w:r w:rsidR="000A1DAE">
        <w:t xml:space="preserve"> en el estudio de calidad de vida y CVRS</w:t>
      </w:r>
      <w:r w:rsidRPr="0066080D">
        <w:t>.</w:t>
      </w:r>
    </w:p>
    <w:p w:rsidR="00E357EB" w:rsidRDefault="006D0572" w:rsidP="006A48D0">
      <w:r w:rsidRPr="0066080D">
        <w:rPr>
          <w:b/>
        </w:rPr>
        <w:t>Protocolo de investigación</w:t>
      </w:r>
      <w:r w:rsidRPr="0066080D">
        <w:t xml:space="preserve">: Se realizó una búsqueda de la literatura </w:t>
      </w:r>
      <w:r w:rsidR="00B94BDD">
        <w:t xml:space="preserve">científica </w:t>
      </w:r>
      <w:r w:rsidR="0018751D" w:rsidRPr="0066080D">
        <w:t xml:space="preserve">relacionada </w:t>
      </w:r>
      <w:r w:rsidRPr="0066080D">
        <w:t xml:space="preserve">con la utilización del WHOQOLBREF en las bases de datos </w:t>
      </w:r>
      <w:proofErr w:type="spellStart"/>
      <w:r w:rsidRPr="0066080D">
        <w:t>Pubmed</w:t>
      </w:r>
      <w:proofErr w:type="spellEnd"/>
      <w:r w:rsidRPr="0066080D">
        <w:t xml:space="preserve">, </w:t>
      </w:r>
      <w:proofErr w:type="spellStart"/>
      <w:r w:rsidRPr="0066080D">
        <w:t>Sciencedirect</w:t>
      </w:r>
      <w:proofErr w:type="spellEnd"/>
      <w:r w:rsidRPr="0066080D">
        <w:t xml:space="preserve">, Lilacs y </w:t>
      </w:r>
      <w:proofErr w:type="spellStart"/>
      <w:r w:rsidRPr="0066080D">
        <w:t>Scielo</w:t>
      </w:r>
      <w:proofErr w:type="spellEnd"/>
      <w:r w:rsidRPr="0066080D">
        <w:t>; utilizand</w:t>
      </w:r>
      <w:r w:rsidR="0096016E">
        <w:t>o el término de búsqueda WHOQOL</w:t>
      </w:r>
      <w:r w:rsidRPr="0066080D">
        <w:t xml:space="preserve">BREF. Adicional a esto, </w:t>
      </w:r>
      <w:r w:rsidR="00511BB4" w:rsidRPr="004650E8">
        <w:rPr>
          <w:bCs/>
          <w:lang w:val="es-MX"/>
        </w:rPr>
        <w:t>se revisaron las referencias de los artículos seleccionados para identificar otras que no se encontraron en la búsqueda inicial</w:t>
      </w:r>
      <w:r w:rsidR="0096016E">
        <w:rPr>
          <w:bCs/>
          <w:lang w:val="es-MX"/>
        </w:rPr>
        <w:t xml:space="preserve"> </w:t>
      </w:r>
      <w:r w:rsidR="00511BB4">
        <w:t xml:space="preserve">y </w:t>
      </w:r>
      <w:r w:rsidRPr="0066080D">
        <w:t xml:space="preserve">se enviaron correos electrónicos a varios autores para recuperar </w:t>
      </w:r>
      <w:proofErr w:type="gramStart"/>
      <w:r w:rsidRPr="0066080D">
        <w:t xml:space="preserve">artículos no disponibles en las bases de datos, </w:t>
      </w:r>
      <w:r w:rsidR="005B4F6A">
        <w:t>todo</w:t>
      </w:r>
      <w:proofErr w:type="gramEnd"/>
      <w:r w:rsidR="005B4F6A">
        <w:t xml:space="preserve"> ello </w:t>
      </w:r>
      <w:r w:rsidRPr="0066080D">
        <w:t>con el fin de garantizar la exhaustividad de la investigación.</w:t>
      </w:r>
    </w:p>
    <w:p w:rsidR="00E357EB" w:rsidRDefault="00511BB4" w:rsidP="006A48D0">
      <w:r>
        <w:t>Los criterios de inclusión fueron</w:t>
      </w:r>
      <w:r w:rsidR="006D0572" w:rsidRPr="0066080D">
        <w:t xml:space="preserve"> los siguientes</w:t>
      </w:r>
      <w:r>
        <w:t>:</w:t>
      </w:r>
      <w:r w:rsidR="006D0572" w:rsidRPr="0066080D">
        <w:t xml:space="preserve"> i) investigaciones </w:t>
      </w:r>
      <w:r w:rsidRPr="004650E8">
        <w:t>con término de búsqueda en el título y/o resumen</w:t>
      </w:r>
      <w:r>
        <w:t>, ii)</w:t>
      </w:r>
      <w:r w:rsidR="0096016E">
        <w:t xml:space="preserve"> </w:t>
      </w:r>
      <w:r w:rsidR="006D0572" w:rsidRPr="0066080D">
        <w:t xml:space="preserve">publicadas entre enero de 2002 y octubre de 2012, </w:t>
      </w:r>
      <w:r>
        <w:t>ii</w:t>
      </w:r>
      <w:r w:rsidR="006D0572" w:rsidRPr="0066080D">
        <w:t>i) estudios publicados en</w:t>
      </w:r>
      <w:r>
        <w:t xml:space="preserve"> español, </w:t>
      </w:r>
      <w:r w:rsidRPr="00406E9A">
        <w:t>inglés o portugués, iv</w:t>
      </w:r>
      <w:r w:rsidR="006D0572" w:rsidRPr="00406E9A">
        <w:t>) artículos originales</w:t>
      </w:r>
      <w:r w:rsidRPr="00406E9A">
        <w:t xml:space="preserve">, </w:t>
      </w:r>
      <w:r w:rsidRPr="00406E9A">
        <w:lastRenderedPageBreak/>
        <w:t>v) estudios observacionales, transversales y longitudinales</w:t>
      </w:r>
      <w:r w:rsidR="00385357" w:rsidRPr="00385357">
        <w:t>,</w:t>
      </w:r>
      <w:r w:rsidR="0056688D" w:rsidRPr="00385357">
        <w:t xml:space="preserve"> v</w:t>
      </w:r>
      <w:r w:rsidRPr="00385357">
        <w:t>i</w:t>
      </w:r>
      <w:r w:rsidR="0056688D" w:rsidRPr="00385357">
        <w:t xml:space="preserve">) </w:t>
      </w:r>
      <w:r w:rsidR="00385357">
        <w:t>que evaluaran las 4 dimensiones del WHOQOL</w:t>
      </w:r>
      <w:r w:rsidR="0018751D">
        <w:t xml:space="preserve"> </w:t>
      </w:r>
      <w:r w:rsidR="00385357">
        <w:t>BREF</w:t>
      </w:r>
      <w:r w:rsidR="0096016E">
        <w:t xml:space="preserve"> </w:t>
      </w:r>
      <w:r w:rsidR="00094847">
        <w:t xml:space="preserve">y vii) </w:t>
      </w:r>
      <w:r w:rsidR="00094847" w:rsidRPr="00385357">
        <w:t xml:space="preserve">investigaciones </w:t>
      </w:r>
      <w:r w:rsidR="00094847">
        <w:t>realizadas en enfermedad</w:t>
      </w:r>
      <w:r w:rsidR="0018751D">
        <w:t>es</w:t>
      </w:r>
      <w:r w:rsidR="00094847">
        <w:t xml:space="preserve"> infecciosa</w:t>
      </w:r>
      <w:r w:rsidR="0018751D">
        <w:t>s</w:t>
      </w:r>
      <w:r w:rsidR="006D0572" w:rsidRPr="0066080D">
        <w:t>.</w:t>
      </w:r>
    </w:p>
    <w:p w:rsidR="00E357EB" w:rsidRDefault="006D0572" w:rsidP="006A48D0">
      <w:r w:rsidRPr="0066080D">
        <w:t xml:space="preserve">Como criterios de exclusión se definieron: i) estudios en los que no se documente el puntaje de cada dominio del instrumento, ii) </w:t>
      </w:r>
      <w:r w:rsidR="00F55000">
        <w:t>estudios de validación del WHOQOLBREF o en los que éste fue empleado para validar otros</w:t>
      </w:r>
      <w:r w:rsidR="0018751D">
        <w:t xml:space="preserve"> instrumentos</w:t>
      </w:r>
      <w:r w:rsidR="00F55000">
        <w:t>, i</w:t>
      </w:r>
      <w:r w:rsidR="0096016E">
        <w:t>ii</w:t>
      </w:r>
      <w:r w:rsidR="00F55000">
        <w:t xml:space="preserve">) </w:t>
      </w:r>
      <w:r w:rsidRPr="0066080D">
        <w:t xml:space="preserve">artículos con problemas de validez interna </w:t>
      </w:r>
      <w:r w:rsidR="00417515" w:rsidRPr="004650E8">
        <w:t>por un manejo estadístico inadecuado, resultados incongruentes con el objetivo del estudio</w:t>
      </w:r>
      <w:r w:rsidR="00417515">
        <w:t>,</w:t>
      </w:r>
      <w:r w:rsidR="00417515" w:rsidRPr="004650E8">
        <w:t xml:space="preserve"> sin información sobre control de sesgos </w:t>
      </w:r>
      <w:r w:rsidR="00417515">
        <w:t>o que no presentaran los principales componente</w:t>
      </w:r>
      <w:r w:rsidR="008B0326">
        <w:t xml:space="preserve">s de un estudio epidemiológico </w:t>
      </w:r>
      <w:r w:rsidR="00417515">
        <w:t xml:space="preserve">según </w:t>
      </w:r>
      <w:r w:rsidR="006F00B0">
        <w:t xml:space="preserve">lo planteado en las </w:t>
      </w:r>
      <w:r w:rsidR="00417515">
        <w:t>guías STROBE (10),</w:t>
      </w:r>
      <w:r w:rsidR="0096016E">
        <w:t xml:space="preserve"> y</w:t>
      </w:r>
      <w:r w:rsidR="00417515">
        <w:t xml:space="preserve"> v)</w:t>
      </w:r>
      <w:r w:rsidR="00417515" w:rsidRPr="004650E8">
        <w:t xml:space="preserve"> con muestras estadísticamente pequeñas</w:t>
      </w:r>
      <w:r w:rsidR="00B90E76">
        <w:t xml:space="preserve"> </w:t>
      </w:r>
      <w:r w:rsidR="00417515" w:rsidRPr="004650E8">
        <w:t>(&lt;30)</w:t>
      </w:r>
      <w:r w:rsidR="00417515">
        <w:t>.</w:t>
      </w:r>
    </w:p>
    <w:p w:rsidR="00E357EB" w:rsidRDefault="006D0572" w:rsidP="006A48D0">
      <w:r w:rsidRPr="0066080D">
        <w:rPr>
          <w:b/>
        </w:rPr>
        <w:t>Recolección de la información</w:t>
      </w:r>
      <w:r w:rsidRPr="0066080D">
        <w:t xml:space="preserve">: </w:t>
      </w:r>
      <w:r w:rsidR="00E04ADD" w:rsidRPr="004650E8">
        <w:t>Para garantizar la exhaustividad del protocolo de investigación se realizó una búsqueda por sensibilidad,</w:t>
      </w:r>
      <w:r w:rsidR="00D713D2">
        <w:t xml:space="preserve"> </w:t>
      </w:r>
      <w:r w:rsidR="00E04ADD" w:rsidRPr="004650E8">
        <w:t xml:space="preserve">sin circunscribirla a términos </w:t>
      </w:r>
      <w:proofErr w:type="spellStart"/>
      <w:r w:rsidR="00E04ADD" w:rsidRPr="004650E8">
        <w:t>MeSH</w:t>
      </w:r>
      <w:proofErr w:type="spellEnd"/>
      <w:r w:rsidR="00E04ADD" w:rsidRPr="004650E8">
        <w:t xml:space="preserve"> o </w:t>
      </w:r>
      <w:proofErr w:type="spellStart"/>
      <w:r w:rsidR="00E04ADD" w:rsidRPr="004650E8">
        <w:t>DeC</w:t>
      </w:r>
      <w:r w:rsidR="00767CCB">
        <w:t>S</w:t>
      </w:r>
      <w:proofErr w:type="spellEnd"/>
      <w:r w:rsidR="00E04ADD" w:rsidRPr="004650E8">
        <w:t xml:space="preserve">, la cual permitió la obtención de un mayor número de estudios frente a la búsqueda por especificidad. Los artículos obtenidos fueron exportados al programa </w:t>
      </w:r>
      <w:proofErr w:type="spellStart"/>
      <w:r w:rsidR="00E04ADD" w:rsidRPr="004650E8">
        <w:t>Endnote</w:t>
      </w:r>
      <w:proofErr w:type="spellEnd"/>
      <w:r w:rsidR="00E04ADD" w:rsidRPr="004650E8">
        <w:t xml:space="preserve"> para la eliminación de duplicados, la aplicación del protocolo de investigación se llevó a cabo por dos investigadores de forma independiente para garantizar la reproducibilidad de la revisión, las discrepancias se resolvieron por consenso y referencia a un tercero. La extracción de la información se realizó con base en un protocolo y se almacenó en una base de datos diseñada en Excel, esto lo realizó cada investigador en dos ocasiones diferentes (en un rango de un mes) de forma independiente, con el fin de garantizar la reproducibilidad </w:t>
      </w:r>
      <w:proofErr w:type="spellStart"/>
      <w:r w:rsidR="00E04ADD" w:rsidRPr="004650E8">
        <w:t>intra</w:t>
      </w:r>
      <w:proofErr w:type="spellEnd"/>
      <w:r w:rsidR="00E04ADD" w:rsidRPr="004650E8">
        <w:t xml:space="preserve"> e inter-observador de la información recolectada y analizada, </w:t>
      </w:r>
      <w:r w:rsidR="00FE7788">
        <w:t xml:space="preserve">dicha reproducibilidad se verificó </w:t>
      </w:r>
      <w:r w:rsidR="00E04ADD" w:rsidRPr="004650E8">
        <w:t xml:space="preserve">con </w:t>
      </w:r>
      <w:r w:rsidR="00FE7788">
        <w:t xml:space="preserve">la obtención de un </w:t>
      </w:r>
      <w:r w:rsidR="00E04ADD" w:rsidRPr="004650E8">
        <w:t xml:space="preserve">coeficiente </w:t>
      </w:r>
      <w:r w:rsidR="00E04ADD" w:rsidRPr="004650E8">
        <w:rPr>
          <w:i/>
        </w:rPr>
        <w:t>kappa</w:t>
      </w:r>
      <w:r w:rsidR="008B0326">
        <w:t xml:space="preserve"> mayor a 0,9</w:t>
      </w:r>
      <w:r w:rsidR="00D713D2">
        <w:t xml:space="preserve"> </w:t>
      </w:r>
      <w:r w:rsidR="008B0326">
        <w:t>c</w:t>
      </w:r>
      <w:r w:rsidRPr="0066080D">
        <w:t xml:space="preserve">alculado para las variables año de publicación, </w:t>
      </w:r>
      <w:r w:rsidR="0056688D">
        <w:t xml:space="preserve">lugar </w:t>
      </w:r>
      <w:r w:rsidR="00406E9A">
        <w:t>d</w:t>
      </w:r>
      <w:r w:rsidRPr="0066080D">
        <w:t>e estudio</w:t>
      </w:r>
      <w:r w:rsidR="00490F1F">
        <w:t xml:space="preserve"> y tipo de </w:t>
      </w:r>
      <w:r w:rsidR="0056688D">
        <w:t>infección</w:t>
      </w:r>
      <w:r w:rsidRPr="0066080D">
        <w:t>.</w:t>
      </w:r>
    </w:p>
    <w:p w:rsidR="00E357EB" w:rsidRDefault="006D0572" w:rsidP="006A48D0">
      <w:r w:rsidRPr="0066080D">
        <w:rPr>
          <w:b/>
        </w:rPr>
        <w:lastRenderedPageBreak/>
        <w:t>Análisis de la información</w:t>
      </w:r>
      <w:r w:rsidRPr="0066080D">
        <w:t>: Para describir los artículos se calcularon frecuencias absolutas y relativas e intervalos de confianza del 95% para proporciones</w:t>
      </w:r>
      <w:r w:rsidR="00494E7F">
        <w:t>, según las variables de tiempo (año de estudio), lugar (país) y persona (frecuencia de infectados incluidos)</w:t>
      </w:r>
      <w:r w:rsidRPr="0066080D">
        <w:t xml:space="preserve">. </w:t>
      </w:r>
      <w:r w:rsidR="003B26FF">
        <w:t>Se determinó la frecuencia absoluta, relativa e intervalo de confianza del 95% para la proporción de estudios que incluyeron sujetos con VIH/Sida, lepra, hepatitis B y C, Chagas y HTLV-1, con el fin de identificar la enfermedad infecciosa más estudiada con el WHOQOLBREF.</w:t>
      </w:r>
    </w:p>
    <w:p w:rsidR="00E357EB" w:rsidRDefault="000079D3" w:rsidP="006A48D0">
      <w:r>
        <w:t>Dado que algunos estudio</w:t>
      </w:r>
      <w:r w:rsidR="00BB3E45">
        <w:t>s</w:t>
      </w:r>
      <w:r>
        <w:t xml:space="preserve"> reportaban </w:t>
      </w:r>
      <w:r w:rsidR="002B0B77">
        <w:t>e</w:t>
      </w:r>
      <w:r>
        <w:t xml:space="preserve">l puntaje </w:t>
      </w:r>
      <w:r w:rsidR="006B1D0E">
        <w:t xml:space="preserve">promedio </w:t>
      </w:r>
      <w:r>
        <w:t xml:space="preserve">de </w:t>
      </w:r>
      <w:r w:rsidR="002B0B77">
        <w:t xml:space="preserve">cada </w:t>
      </w:r>
      <w:r>
        <w:t>dimensi</w:t>
      </w:r>
      <w:r w:rsidR="002B0B77">
        <w:t xml:space="preserve">ón </w:t>
      </w:r>
      <w:r>
        <w:t xml:space="preserve">del WHOQOLBREF en una escala de 0 a 20, ésta se unificó en un rango de 0 a 100 según recomendaciones del Grupo de Salud Mental de la OMS </w:t>
      </w:r>
      <w:r w:rsidRPr="00F7147F">
        <w:t>(</w:t>
      </w:r>
      <w:r w:rsidR="00F7147F" w:rsidRPr="00F7147F">
        <w:t>9</w:t>
      </w:r>
      <w:r w:rsidRPr="00F7147F">
        <w:t>)</w:t>
      </w:r>
      <w:r>
        <w:t>.</w:t>
      </w:r>
      <w:r w:rsidR="0069500C">
        <w:t xml:space="preserve"> </w:t>
      </w:r>
      <w:r w:rsidR="00FB6142">
        <w:t xml:space="preserve">Para los artículos que </w:t>
      </w:r>
      <w:r w:rsidR="004E504E">
        <w:t>presentaban la desviación estándar de los resultados de calidad de vida en una escala de 0-20, ésta se transformó a una de 0-100 a partir del siguiente estadístico:</w:t>
      </w:r>
      <w:r w:rsidR="00FA1459">
        <w:t xml:space="preserve"> </w:t>
      </w:r>
      <w:r w:rsidR="004E504E">
        <w:t>Desviación estándar</w:t>
      </w:r>
      <w:r w:rsidR="00FA1459">
        <w:t xml:space="preserve"> </w:t>
      </w:r>
      <w:r w:rsidR="004E504E">
        <w:t>=</w:t>
      </w:r>
      <w:r w:rsidR="00FA1459">
        <w:t xml:space="preserve"> </w:t>
      </w:r>
      <w:r w:rsidR="004E504E">
        <w:t>Coeficiente de variación</w:t>
      </w:r>
      <w:r w:rsidR="00FA1459">
        <w:t xml:space="preserve"> </w:t>
      </w:r>
      <w:r w:rsidR="004E504E">
        <w:t>*</w:t>
      </w:r>
      <w:r w:rsidR="00FA1459">
        <w:t xml:space="preserve"> </w:t>
      </w:r>
      <w:r w:rsidR="004E504E">
        <w:t>Media</w:t>
      </w:r>
      <w:r w:rsidR="00FA1459">
        <w:t xml:space="preserve">, esta última </w:t>
      </w:r>
      <w:r w:rsidR="004E504E">
        <w:t>unificada en escala 0-100</w:t>
      </w:r>
      <w:r w:rsidR="00FA1459">
        <w:t xml:space="preserve"> según la guía de la OMS previamente citada.</w:t>
      </w:r>
    </w:p>
    <w:p w:rsidR="00E357EB" w:rsidRDefault="003B26FF" w:rsidP="006A48D0">
      <w:r>
        <w:t>Para describir la calidad vida de la población de estudio</w:t>
      </w:r>
      <w:r w:rsidR="000C1CEC">
        <w:t xml:space="preserve"> se calcularon promedios ponderados para los puntajes de salud física, psicológica, social y ambiental </w:t>
      </w:r>
      <w:r w:rsidR="00FA1459">
        <w:t>en</w:t>
      </w:r>
      <w:r w:rsidR="000C1CEC">
        <w:t xml:space="preserve"> cada infección, cada uno de éstos se acompañ</w:t>
      </w:r>
      <w:r w:rsidR="00495902">
        <w:t>ó</w:t>
      </w:r>
      <w:r w:rsidR="000C1CEC">
        <w:t xml:space="preserve"> de la desviación estándar ponderada</w:t>
      </w:r>
      <w:r w:rsidR="00FA1459">
        <w:t>. E</w:t>
      </w:r>
      <w:r w:rsidR="000C1CEC">
        <w:t>n un estudio que no reportaba la medida de dispersión ésta fue imputada.</w:t>
      </w:r>
    </w:p>
    <w:p w:rsidR="00E357EB" w:rsidRDefault="000C1CEC" w:rsidP="006A48D0">
      <w:r>
        <w:t>Con base en los promedios y</w:t>
      </w:r>
      <w:r w:rsidR="005A3359">
        <w:t xml:space="preserve"> desviaciones estándar ponderada</w:t>
      </w:r>
      <w:r>
        <w:t xml:space="preserve">s, se comparó el puntaje de cada una de las dimensiones de </w:t>
      </w:r>
      <w:r w:rsidR="0007256B">
        <w:t xml:space="preserve">CVRS </w:t>
      </w:r>
      <w:r>
        <w:t xml:space="preserve">entre las diferentes infecciones incluidas en el estudio mediante el cálculo de intervalos de confianza </w:t>
      </w:r>
      <w:r w:rsidR="004270FA">
        <w:t xml:space="preserve">del 95% </w:t>
      </w:r>
      <w:r>
        <w:t>para la diferencia de medias independientes</w:t>
      </w:r>
      <w:r w:rsidR="0007256B">
        <w:t>,</w:t>
      </w:r>
      <w:r>
        <w:t xml:space="preserve"> mediante el estadístico T</w:t>
      </w:r>
      <w:r w:rsidR="0007256B">
        <w:t xml:space="preserve"> </w:t>
      </w:r>
      <w:proofErr w:type="spellStart"/>
      <w:r w:rsidR="0007256B">
        <w:t>Student</w:t>
      </w:r>
      <w:proofErr w:type="spellEnd"/>
      <w:r>
        <w:t>.</w:t>
      </w:r>
    </w:p>
    <w:p w:rsidR="00E357EB" w:rsidRDefault="00314D2A" w:rsidP="006A48D0">
      <w:r>
        <w:t xml:space="preserve">Los </w:t>
      </w:r>
      <w:r w:rsidR="006D0572" w:rsidRPr="0066080D">
        <w:t xml:space="preserve">análisis se </w:t>
      </w:r>
      <w:r>
        <w:t xml:space="preserve">realizaron </w:t>
      </w:r>
      <w:r w:rsidR="006D0572" w:rsidRPr="0066080D">
        <w:t>en el Programa para análisis Epidemiológico de Datos Tabulados de la Organización Panamericana de la Salud (EPIDAT) versión 3.1.</w:t>
      </w:r>
    </w:p>
    <w:p w:rsidR="00E357EB" w:rsidRPr="00472C54" w:rsidRDefault="006D0572" w:rsidP="006A48D0">
      <w:pPr>
        <w:rPr>
          <w:b/>
        </w:rPr>
      </w:pPr>
      <w:r w:rsidRPr="00472C54">
        <w:rPr>
          <w:b/>
        </w:rPr>
        <w:t>RESULTADOS.</w:t>
      </w:r>
    </w:p>
    <w:p w:rsidR="00E357EB" w:rsidRDefault="006D02CA" w:rsidP="006A48D0">
      <w:r>
        <w:lastRenderedPageBreak/>
        <w:t>A partir de la búsqueda inicial se obtuvieron 1.845 estudios, los cuales se redujeron a 548 luego de eliminar duplicados</w:t>
      </w:r>
      <w:r w:rsidR="00F7560C">
        <w:t>,</w:t>
      </w:r>
      <w:r>
        <w:t xml:space="preserve"> aplicar los filtros de las bases de datos y los criterios relacionados con la temporalidad, el idioma, el tipo de estudio y el explicitar las cuatro dimensiones del WHOQOLBREF; de éstos se eliminaron 534 por tratarse de estudios de validación de instrumentos, abordar persona</w:t>
      </w:r>
      <w:r w:rsidR="000B3E1B">
        <w:t>s</w:t>
      </w:r>
      <w:r>
        <w:t xml:space="preserve"> sanas o individuos con enfermedades no transmisibles (Figura 1).</w:t>
      </w:r>
    </w:p>
    <w:p w:rsidR="00E357EB" w:rsidRDefault="006D02CA" w:rsidP="006A48D0">
      <w:r>
        <w:t>El estudio incluyó 14 investigaciones</w:t>
      </w:r>
      <w:r w:rsidR="00427E23">
        <w:t xml:space="preserve"> </w:t>
      </w:r>
      <w:r>
        <w:t xml:space="preserve">las cuales </w:t>
      </w:r>
      <w:r w:rsidR="00004C38">
        <w:t xml:space="preserve">subsumen </w:t>
      </w:r>
      <w:r>
        <w:t xml:space="preserve">una población de </w:t>
      </w:r>
      <w:r w:rsidR="00427E23">
        <w:t xml:space="preserve">2.013 </w:t>
      </w:r>
      <w:r w:rsidR="00934C77">
        <w:t xml:space="preserve">infectados, con una edad promedio </w:t>
      </w:r>
      <w:r w:rsidR="00DB3820">
        <w:t xml:space="preserve">(ponderada) </w:t>
      </w:r>
      <w:r w:rsidR="00934C77">
        <w:t xml:space="preserve">de </w:t>
      </w:r>
      <w:r w:rsidR="00DB3820">
        <w:t>40 años</w:t>
      </w:r>
      <w:r w:rsidR="00934C77">
        <w:t xml:space="preserve"> años y un rango de 18 a 87; dichos estudios se han realizado principalmente en Brasil (Tabla 1).</w:t>
      </w:r>
    </w:p>
    <w:p w:rsidR="00E357EB" w:rsidRDefault="00CD5E29" w:rsidP="006A48D0">
      <w:r>
        <w:t>Del total de individuos incluidos en la población de estudio, el 47,6% (IC 95%=45,4-49,8) corresponde a personas que viven con VIH/SIDA, 24,8% hepatitis B o C, 17,8% lepra y el porcentaje restante a Chagas e infección po</w:t>
      </w:r>
      <w:r w:rsidR="00996CB5">
        <w:t>r</w:t>
      </w:r>
      <w:r>
        <w:t xml:space="preserve"> HTLV-1 (Tabla 2).</w:t>
      </w:r>
    </w:p>
    <w:p w:rsidR="00E357EB" w:rsidRDefault="00B05061" w:rsidP="006A48D0">
      <w:r>
        <w:t xml:space="preserve">Los dominios de </w:t>
      </w:r>
      <w:r w:rsidR="0086132F">
        <w:t>CVRS</w:t>
      </w:r>
      <w:r>
        <w:t xml:space="preserve"> en las personas que viven con VIH/SIDA presentaron un puntaje que osciló entre 59 (para la salud ambiental) y 64 (salud psicológica); en lepra fluctuaron entre 47 (salud </w:t>
      </w:r>
      <w:r w:rsidR="00900357">
        <w:t>física)</w:t>
      </w:r>
      <w:r>
        <w:t xml:space="preserve"> y 63 (</w:t>
      </w:r>
      <w:r w:rsidR="00900357">
        <w:t>relaciones sociales</w:t>
      </w:r>
      <w:r>
        <w:t>)</w:t>
      </w:r>
      <w:r w:rsidR="00900357">
        <w:t xml:space="preserve"> y en hepatitis entre 54 (ambiente) y 65 (social) puntos (Tabla 3).</w:t>
      </w:r>
      <w:r w:rsidR="008A1D2C">
        <w:t xml:space="preserve"> En general, la salud física</w:t>
      </w:r>
      <w:r w:rsidR="0064602B">
        <w:t xml:space="preserve">, </w:t>
      </w:r>
      <w:r w:rsidR="008C5A46">
        <w:t xml:space="preserve">la salud </w:t>
      </w:r>
      <w:r w:rsidR="0064602B">
        <w:t>psicológica</w:t>
      </w:r>
      <w:r w:rsidR="008A1D2C">
        <w:t xml:space="preserve"> </w:t>
      </w:r>
      <w:r w:rsidR="0064602B">
        <w:t xml:space="preserve">y el ambiente </w:t>
      </w:r>
      <w:r w:rsidR="008A1D2C">
        <w:t>fue</w:t>
      </w:r>
      <w:r w:rsidR="0064602B">
        <w:t xml:space="preserve">ron </w:t>
      </w:r>
      <w:r w:rsidR="008A1D2C">
        <w:t>mejor</w:t>
      </w:r>
      <w:r w:rsidR="0064602B">
        <w:t>es</w:t>
      </w:r>
      <w:r w:rsidR="008A1D2C">
        <w:t xml:space="preserve"> en</w:t>
      </w:r>
      <w:r w:rsidR="0064602B">
        <w:t>tre quienes viven con</w:t>
      </w:r>
      <w:r w:rsidR="00000E61">
        <w:t xml:space="preserve"> VIH/SIDA</w:t>
      </w:r>
      <w:r w:rsidR="008A1D2C">
        <w:t xml:space="preserve"> </w:t>
      </w:r>
      <w:r w:rsidR="0064602B">
        <w:t xml:space="preserve">y peor en lepra, </w:t>
      </w:r>
      <w:r w:rsidR="00345049">
        <w:t xml:space="preserve">mientras que </w:t>
      </w:r>
      <w:r w:rsidR="0064602B">
        <w:t xml:space="preserve">las relaciones sociales </w:t>
      </w:r>
      <w:r w:rsidR="00345049">
        <w:t xml:space="preserve">presentaron el puntaje más elevado </w:t>
      </w:r>
      <w:r w:rsidR="0064602B">
        <w:t xml:space="preserve">entre los infectados por Hepatitis B o C y </w:t>
      </w:r>
      <w:r w:rsidR="0086132F">
        <w:t xml:space="preserve">el </w:t>
      </w:r>
      <w:r w:rsidR="008C5A46">
        <w:t>más</w:t>
      </w:r>
      <w:r w:rsidR="00345049">
        <w:t xml:space="preserve"> bajo </w:t>
      </w:r>
      <w:r w:rsidR="00DD17AF">
        <w:t>entre quienes viven con VIH/SIDA</w:t>
      </w:r>
      <w:r w:rsidR="00345049">
        <w:t xml:space="preserve"> (Figura 2).</w:t>
      </w:r>
    </w:p>
    <w:p w:rsidR="00E357EB" w:rsidRDefault="008C5A46" w:rsidP="006A48D0">
      <w:r>
        <w:t xml:space="preserve">En la tabla 4 se presentan los intervalos de confianza para comparar el promedio de los puntajes de </w:t>
      </w:r>
      <w:r w:rsidR="009D5725">
        <w:t xml:space="preserve">CVRS </w:t>
      </w:r>
      <w:r>
        <w:t>entre las diferentes infecciones, se observó que entre las personas que viven con V</w:t>
      </w:r>
      <w:r w:rsidR="002021B9">
        <w:t>IH/SIDA</w:t>
      </w:r>
      <w:r>
        <w:t xml:space="preserve"> los puntajes de salud física y psicológica fueron estadísticamente mayores frente a las demás infecciones, mientras que las relaciones sociales y el ambiente presentaron puntajes estadísticamente más bajo</w:t>
      </w:r>
      <w:r w:rsidR="00000E61">
        <w:t>s</w:t>
      </w:r>
      <w:r>
        <w:t xml:space="preserve"> </w:t>
      </w:r>
      <w:r>
        <w:lastRenderedPageBreak/>
        <w:t>para este grupo (entre 1 y 4 puntos para el dominio social, y entre 6 y 8 puntos para el Ambiente); además, las personas con lepra presentaron peor perfil de CVRS frente a hepatitis, Chagas y HTLV1</w:t>
      </w:r>
      <w:r w:rsidR="006E2894">
        <w:t>, y en los dominios Social y Ambiental no se hallaron diferencias estadísticamente significativas entre las personas que viven con lepr</w:t>
      </w:r>
      <w:r w:rsidR="00B20A9F">
        <w:t xml:space="preserve">a, </w:t>
      </w:r>
      <w:proofErr w:type="spellStart"/>
      <w:r w:rsidR="00B20A9F">
        <w:t>chagas</w:t>
      </w:r>
      <w:proofErr w:type="spellEnd"/>
      <w:r w:rsidR="00B20A9F">
        <w:t>, hepatitis b o C ni H</w:t>
      </w:r>
      <w:r w:rsidR="006E2894">
        <w:t>T</w:t>
      </w:r>
      <w:r w:rsidR="00B20A9F">
        <w:t>L</w:t>
      </w:r>
      <w:r w:rsidR="006E2894">
        <w:t>AV</w:t>
      </w:r>
      <w:r w:rsidR="00B20A9F">
        <w:t>-</w:t>
      </w:r>
      <w:r w:rsidR="006E2894">
        <w:t>1 (Tabla 4).</w:t>
      </w:r>
    </w:p>
    <w:p w:rsidR="00E357EB" w:rsidRPr="00DE6CEF" w:rsidRDefault="006D0572" w:rsidP="006A48D0">
      <w:pPr>
        <w:rPr>
          <w:b/>
        </w:rPr>
      </w:pPr>
      <w:r w:rsidRPr="00DE6CEF">
        <w:rPr>
          <w:b/>
        </w:rPr>
        <w:t>DISCUSIÓN.</w:t>
      </w:r>
    </w:p>
    <w:p w:rsidR="00557406" w:rsidRDefault="00DD17AF" w:rsidP="006A48D0">
      <w:r w:rsidRPr="00DD17AF">
        <w:t>El estudio de l</w:t>
      </w:r>
      <w:r w:rsidR="0090270A">
        <w:t>a calidad de vida con el WHOQOL</w:t>
      </w:r>
      <w:r w:rsidRPr="00DD17AF">
        <w:t xml:space="preserve">BREF </w:t>
      </w:r>
      <w:r w:rsidR="00456BA3">
        <w:t>predomina en personas con enfermedades crónicas no transmisibles</w:t>
      </w:r>
      <w:r w:rsidR="0090270A">
        <w:t>,</w:t>
      </w:r>
      <w:r w:rsidR="00456BA3">
        <w:t xml:space="preserve"> </w:t>
      </w:r>
      <w:r w:rsidRPr="00DD17AF">
        <w:t xml:space="preserve">en personas </w:t>
      </w:r>
      <w:r w:rsidR="00456BA3">
        <w:t>sanas</w:t>
      </w:r>
      <w:r w:rsidR="0090270A">
        <w:t xml:space="preserve"> y en estudios de validación de instrumentos</w:t>
      </w:r>
      <w:r w:rsidR="00456BA3">
        <w:t xml:space="preserve">, </w:t>
      </w:r>
      <w:r w:rsidR="0036267F">
        <w:t xml:space="preserve">desplazando a un </w:t>
      </w:r>
      <w:r w:rsidR="000B3E1B">
        <w:t xml:space="preserve">segundo </w:t>
      </w:r>
      <w:r w:rsidR="0036267F">
        <w:t>plano los estudios realizados en</w:t>
      </w:r>
      <w:r w:rsidR="00456BA3">
        <w:t xml:space="preserve"> person</w:t>
      </w:r>
      <w:r w:rsidR="0036267F">
        <w:t>as con enfermedades</w:t>
      </w:r>
      <w:r w:rsidR="000B3E1B">
        <w:t xml:space="preserve"> infecciosas. Este hallazgo</w:t>
      </w:r>
      <w:r w:rsidR="0036267F">
        <w:t xml:space="preserve"> </w:t>
      </w:r>
      <w:r w:rsidR="00B71A6D">
        <w:t>se corresponde</w:t>
      </w:r>
      <w:r w:rsidR="0036267F">
        <w:t xml:space="preserve"> con el cambio en el perfil mundial de morb</w:t>
      </w:r>
      <w:r w:rsidR="00B71A6D">
        <w:t>ilidad y mortalidad ya que las</w:t>
      </w:r>
      <w:r w:rsidR="0036267F">
        <w:t xml:space="preserve"> enfermedades </w:t>
      </w:r>
      <w:r w:rsidR="00B71A6D">
        <w:t xml:space="preserve">crónicas no transmisibles </w:t>
      </w:r>
      <w:r w:rsidR="0036267F">
        <w:t xml:space="preserve">generan más muertes que las </w:t>
      </w:r>
      <w:r w:rsidR="00892E35">
        <w:t>demás</w:t>
      </w:r>
      <w:r w:rsidR="0036267F">
        <w:t xml:space="preserve"> causas combinadas</w:t>
      </w:r>
      <w:r w:rsidR="006C157A">
        <w:t xml:space="preserve"> (1)</w:t>
      </w:r>
      <w:r w:rsidR="0062736C">
        <w:t>. Adicional a ello</w:t>
      </w:r>
      <w:r w:rsidR="000B3E1B">
        <w:t>,</w:t>
      </w:r>
      <w:r w:rsidR="00A80EE3">
        <w:t xml:space="preserve"> </w:t>
      </w:r>
      <w:r w:rsidR="00BC0119">
        <w:t>el</w:t>
      </w:r>
      <w:r w:rsidR="0062736C">
        <w:t xml:space="preserve"> modelo médico hegemónico</w:t>
      </w:r>
      <w:r w:rsidR="00892E35">
        <w:t>,</w:t>
      </w:r>
      <w:r w:rsidR="0062736C">
        <w:t xml:space="preserve"> </w:t>
      </w:r>
      <w:r w:rsidR="0090270A">
        <w:t>caracterizado por</w:t>
      </w:r>
      <w:r w:rsidR="000B3E1B">
        <w:t xml:space="preserve"> fundamenta</w:t>
      </w:r>
      <w:r w:rsidR="0090270A">
        <w:t>rse</w:t>
      </w:r>
      <w:r w:rsidR="00D512B8">
        <w:t xml:space="preserve"> en el biologismo</w:t>
      </w:r>
      <w:r w:rsidR="0090270A">
        <w:t xml:space="preserve">, </w:t>
      </w:r>
      <w:r w:rsidR="00E22478">
        <w:t>la subordinación técnica del paciente,</w:t>
      </w:r>
      <w:r w:rsidR="0090270A">
        <w:t xml:space="preserve"> </w:t>
      </w:r>
      <w:r w:rsidR="00E22478">
        <w:t>la</w:t>
      </w:r>
      <w:r w:rsidR="0090270A">
        <w:t xml:space="preserve"> </w:t>
      </w:r>
      <w:r w:rsidR="00E22478">
        <w:t>eliminación del síntoma y la práctica curativa</w:t>
      </w:r>
      <w:r w:rsidR="00892E35">
        <w:t>,</w:t>
      </w:r>
      <w:r w:rsidR="0090270A">
        <w:t xml:space="preserve"> ha</w:t>
      </w:r>
      <w:r w:rsidR="00E22478">
        <w:t xml:space="preserve"> </w:t>
      </w:r>
      <w:r w:rsidR="0090270A">
        <w:t xml:space="preserve"> presentado como consecuencia </w:t>
      </w:r>
      <w:r w:rsidR="00892E35">
        <w:t xml:space="preserve">central el </w:t>
      </w:r>
      <w:r w:rsidR="0090270A">
        <w:t xml:space="preserve">que la investigación en enfermedades infecciosas gire en torno de </w:t>
      </w:r>
      <w:r w:rsidR="00D512B8">
        <w:t xml:space="preserve">la caracterización de los microorganismos, </w:t>
      </w:r>
      <w:r w:rsidR="000B3E1B">
        <w:t>la patogénesis y el tratamiento</w:t>
      </w:r>
      <w:r w:rsidR="00120E84">
        <w:t>;</w:t>
      </w:r>
      <w:r w:rsidR="000B3E1B">
        <w:t xml:space="preserve"> </w:t>
      </w:r>
      <w:r w:rsidR="00892E35">
        <w:t xml:space="preserve">circunscribiendo la mayoría de </w:t>
      </w:r>
      <w:r w:rsidR="00120E84">
        <w:t xml:space="preserve">intervenciones al dominio físico </w:t>
      </w:r>
      <w:r w:rsidR="00892E35">
        <w:t xml:space="preserve">con </w:t>
      </w:r>
      <w:r w:rsidR="00D512B8">
        <w:t>subvalora</w:t>
      </w:r>
      <w:r w:rsidR="00892E35">
        <w:t>ción d</w:t>
      </w:r>
      <w:r w:rsidR="00D512B8">
        <w:t>e</w:t>
      </w:r>
      <w:r w:rsidR="00892E35">
        <w:t xml:space="preserve"> su </w:t>
      </w:r>
      <w:r w:rsidR="00120E84">
        <w:t>impacto psicológico</w:t>
      </w:r>
      <w:r w:rsidR="00892E35">
        <w:t>,</w:t>
      </w:r>
      <w:r w:rsidR="00120E84">
        <w:t xml:space="preserve"> </w:t>
      </w:r>
      <w:r w:rsidR="00D512B8">
        <w:t>social</w:t>
      </w:r>
      <w:r w:rsidR="00120E84">
        <w:t xml:space="preserve"> </w:t>
      </w:r>
      <w:r w:rsidR="00892E35">
        <w:t>y ambiental</w:t>
      </w:r>
      <w:r w:rsidR="00014E63">
        <w:t>, es decir, sin focalizar la investigación clínica y epidemiológica en la CVRS</w:t>
      </w:r>
      <w:r w:rsidR="00892E35">
        <w:t xml:space="preserve"> </w:t>
      </w:r>
      <w:r w:rsidR="006C157A">
        <w:t>(25)</w:t>
      </w:r>
      <w:r w:rsidR="0062736C">
        <w:t xml:space="preserve">. </w:t>
      </w:r>
    </w:p>
    <w:p w:rsidR="00E357EB" w:rsidRDefault="00120E84" w:rsidP="006A48D0">
      <w:r>
        <w:t xml:space="preserve">En referencia al bajo uso del </w:t>
      </w:r>
      <w:r w:rsidR="0002580B">
        <w:t>WHOQOLBREF en</w:t>
      </w:r>
      <w:r w:rsidR="00724B02">
        <w:t xml:space="preserve"> enfermedades infecciosas</w:t>
      </w:r>
      <w:r>
        <w:t>, se debe</w:t>
      </w:r>
      <w:r w:rsidR="00AC4185">
        <w:t xml:space="preserve"> </w:t>
      </w:r>
      <w:r w:rsidR="0062736C">
        <w:t>considerar que</w:t>
      </w:r>
      <w:r w:rsidR="00D512B8">
        <w:t xml:space="preserve"> </w:t>
      </w:r>
      <w:r w:rsidR="0062736C">
        <w:t>l</w:t>
      </w:r>
      <w:r w:rsidR="00D512B8">
        <w:t xml:space="preserve">os investigadores interesados en estudiar la </w:t>
      </w:r>
      <w:r w:rsidR="00724B02">
        <w:t>CVRS</w:t>
      </w:r>
      <w:r w:rsidR="00D512B8">
        <w:t xml:space="preserve"> de las personas con enfermedades</w:t>
      </w:r>
      <w:r w:rsidR="002475E9">
        <w:t xml:space="preserve"> infecciosas, priorizan </w:t>
      </w:r>
      <w:r w:rsidR="00D512B8">
        <w:t xml:space="preserve">los instrumentos específicos </w:t>
      </w:r>
      <w:r w:rsidR="002475E9">
        <w:t>sobre</w:t>
      </w:r>
      <w:r w:rsidR="000B3E1B">
        <w:t xml:space="preserve"> los genéricos</w:t>
      </w:r>
      <w:r w:rsidR="00D512B8">
        <w:t xml:space="preserve"> </w:t>
      </w:r>
      <w:r w:rsidR="002475E9">
        <w:t xml:space="preserve">dada su </w:t>
      </w:r>
      <w:r w:rsidR="000B3E1B">
        <w:t>sensibles para detectar cambios asociados a cada enfermedad</w:t>
      </w:r>
      <w:r w:rsidR="002475E9">
        <w:t>;</w:t>
      </w:r>
      <w:r w:rsidR="000B3E1B">
        <w:t xml:space="preserve"> </w:t>
      </w:r>
      <w:r w:rsidR="000B3E1B">
        <w:lastRenderedPageBreak/>
        <w:t xml:space="preserve">no obstante, se pierde la posibilidad de realizar comparaciones con otras </w:t>
      </w:r>
      <w:r w:rsidR="002475E9">
        <w:t xml:space="preserve">enfermedades, con personas sanas u otras </w:t>
      </w:r>
      <w:r w:rsidR="000B3E1B">
        <w:t>poblaciones.</w:t>
      </w:r>
    </w:p>
    <w:p w:rsidR="00E357EB" w:rsidRDefault="00733F00" w:rsidP="006A48D0">
      <w:pPr>
        <w:rPr>
          <w:rFonts w:eastAsia="Times New Roman"/>
          <w:lang w:eastAsia="es-MX"/>
        </w:rPr>
      </w:pPr>
      <w:r>
        <w:t>L</w:t>
      </w:r>
      <w:r w:rsidR="00883D2A">
        <w:t>as 14 investigaciones incluidas en e</w:t>
      </w:r>
      <w:r w:rsidR="00207373">
        <w:t xml:space="preserve">sta investigación </w:t>
      </w:r>
      <w:r w:rsidR="00883D2A">
        <w:t xml:space="preserve">corresponden a una población de 2.013 personas distribuidas en diferentes grupos etarios y con diferencias en las  variables sociodemográficas, </w:t>
      </w:r>
      <w:r w:rsidR="00207373">
        <w:t>esto</w:t>
      </w:r>
      <w:r w:rsidR="00883D2A">
        <w:t xml:space="preserve"> da cuenta de la validez externa del estudio. </w:t>
      </w:r>
      <w:r w:rsidR="00EF1383">
        <w:t xml:space="preserve">No obstante, ningún </w:t>
      </w:r>
      <w:r w:rsidR="0063709F">
        <w:t>artículo</w:t>
      </w:r>
      <w:r w:rsidR="00EF1383">
        <w:t xml:space="preserve"> incluyó</w:t>
      </w:r>
      <w:r w:rsidR="00DF7692">
        <w:t xml:space="preserve"> niños ni adolescentes</w:t>
      </w:r>
      <w:r w:rsidR="00BA2437">
        <w:t xml:space="preserve"> debido a que el uso del WHOQOLBREF se recomienda para poblaciones mayores de 15 años. Esto </w:t>
      </w:r>
      <w:r w:rsidR="00C509B7">
        <w:t xml:space="preserve">pone en evidencia la necesidad de aplicar </w:t>
      </w:r>
      <w:r w:rsidR="00AF4D82">
        <w:t xml:space="preserve">y validar </w:t>
      </w:r>
      <w:r w:rsidR="00C509B7">
        <w:t>instrumentos en</w:t>
      </w:r>
      <w:r w:rsidR="00DF7692">
        <w:t xml:space="preserve"> esta</w:t>
      </w:r>
      <w:r w:rsidR="00C509B7">
        <w:t>s poblaciones</w:t>
      </w:r>
      <w:r w:rsidR="0062736C">
        <w:t>,</w:t>
      </w:r>
      <w:r w:rsidR="00C509B7">
        <w:t xml:space="preserve"> </w:t>
      </w:r>
      <w:r w:rsidR="0062736C">
        <w:t>teniendo en cuenta que</w:t>
      </w:r>
      <w:r w:rsidR="00C509B7">
        <w:t xml:space="preserve"> son</w:t>
      </w:r>
      <w:r w:rsidR="00DF7692">
        <w:t xml:space="preserve"> especi</w:t>
      </w:r>
      <w:r w:rsidR="00EF1383">
        <w:t>almente susceptible</w:t>
      </w:r>
      <w:r w:rsidR="0062736C">
        <w:t>s</w:t>
      </w:r>
      <w:r w:rsidR="00EF1383">
        <w:t xml:space="preserve"> a las consecuencias de la enfermedad</w:t>
      </w:r>
      <w:r w:rsidR="00C509B7">
        <w:t>,</w:t>
      </w:r>
      <w:r w:rsidR="00EF1383">
        <w:t xml:space="preserve"> </w:t>
      </w:r>
      <w:r w:rsidR="00EF1383">
        <w:rPr>
          <w:rFonts w:eastAsia="Times New Roman"/>
          <w:lang w:val="es-MX" w:eastAsia="es-MX"/>
        </w:rPr>
        <w:t>y</w:t>
      </w:r>
      <w:r w:rsidR="0062736C">
        <w:rPr>
          <w:rFonts w:eastAsia="Times New Roman"/>
          <w:lang w:val="es-MX" w:eastAsia="es-MX"/>
        </w:rPr>
        <w:t>a que</w:t>
      </w:r>
      <w:r w:rsidR="00DF7692">
        <w:rPr>
          <w:rFonts w:eastAsia="Times New Roman"/>
          <w:lang w:val="es-MX" w:eastAsia="es-MX"/>
        </w:rPr>
        <w:t xml:space="preserve"> </w:t>
      </w:r>
      <w:r w:rsidR="0062736C">
        <w:rPr>
          <w:rFonts w:eastAsia="Times New Roman"/>
          <w:lang w:val="es-MX" w:eastAsia="es-MX"/>
        </w:rPr>
        <w:t>generan</w:t>
      </w:r>
      <w:r w:rsidR="0063709F">
        <w:rPr>
          <w:rFonts w:eastAsia="Times New Roman"/>
          <w:lang w:val="es-MX" w:eastAsia="es-MX"/>
        </w:rPr>
        <w:t xml:space="preserve"> una</w:t>
      </w:r>
      <w:r w:rsidR="00EF1383">
        <w:rPr>
          <w:rFonts w:eastAsia="Times New Roman"/>
          <w:lang w:val="es-MX" w:eastAsia="es-MX"/>
        </w:rPr>
        <w:t xml:space="preserve"> evolución clínica </w:t>
      </w:r>
      <w:r w:rsidR="00DF7692" w:rsidRPr="00DF7692">
        <w:rPr>
          <w:rFonts w:eastAsia="Times New Roman"/>
          <w:lang w:val="es-MX" w:eastAsia="es-MX"/>
        </w:rPr>
        <w:t>impredecible</w:t>
      </w:r>
      <w:r w:rsidR="0063709F">
        <w:rPr>
          <w:rFonts w:eastAsia="Times New Roman"/>
          <w:lang w:val="es-MX" w:eastAsia="es-MX"/>
        </w:rPr>
        <w:t>,</w:t>
      </w:r>
      <w:r w:rsidR="00DF7692" w:rsidRPr="00DF7692">
        <w:rPr>
          <w:rFonts w:eastAsia="Times New Roman"/>
          <w:lang w:val="es-MX" w:eastAsia="es-MX"/>
        </w:rPr>
        <w:t xml:space="preserve"> </w:t>
      </w:r>
      <w:r w:rsidR="0063709F">
        <w:rPr>
          <w:rFonts w:eastAsia="Times New Roman"/>
          <w:lang w:val="es-MX" w:eastAsia="es-MX"/>
        </w:rPr>
        <w:t>hospitalizaciones, consultas médicas</w:t>
      </w:r>
      <w:r w:rsidR="00DF7692" w:rsidRPr="00DF7692">
        <w:rPr>
          <w:rFonts w:eastAsia="Times New Roman"/>
          <w:lang w:val="es-MX" w:eastAsia="es-MX"/>
        </w:rPr>
        <w:t xml:space="preserve"> f</w:t>
      </w:r>
      <w:r w:rsidR="0063709F">
        <w:rPr>
          <w:rFonts w:eastAsia="Times New Roman"/>
          <w:lang w:val="es-MX" w:eastAsia="es-MX"/>
        </w:rPr>
        <w:t>recuentes</w:t>
      </w:r>
      <w:r w:rsidR="00DF7692">
        <w:rPr>
          <w:rFonts w:eastAsia="Times New Roman"/>
          <w:lang w:val="es-MX" w:eastAsia="es-MX"/>
        </w:rPr>
        <w:t>,</w:t>
      </w:r>
      <w:r w:rsidR="0063709F">
        <w:rPr>
          <w:rFonts w:eastAsia="Times New Roman"/>
          <w:lang w:val="es-MX" w:eastAsia="es-MX"/>
        </w:rPr>
        <w:t xml:space="preserve"> </w:t>
      </w:r>
      <w:r w:rsidR="00695ABF">
        <w:rPr>
          <w:rFonts w:eastAsia="Times New Roman"/>
          <w:lang w:val="es-MX" w:eastAsia="es-MX"/>
        </w:rPr>
        <w:t xml:space="preserve">generan </w:t>
      </w:r>
      <w:r w:rsidR="00DF7692">
        <w:rPr>
          <w:rFonts w:eastAsia="Times New Roman"/>
          <w:lang w:val="es-MX" w:eastAsia="es-MX"/>
        </w:rPr>
        <w:t>ausentismo escolar</w:t>
      </w:r>
      <w:r w:rsidR="00695ABF">
        <w:rPr>
          <w:rFonts w:eastAsia="Times New Roman"/>
          <w:lang w:val="es-MX" w:eastAsia="es-MX"/>
        </w:rPr>
        <w:t>,</w:t>
      </w:r>
      <w:r w:rsidR="00DF7692">
        <w:rPr>
          <w:rFonts w:eastAsia="Times New Roman"/>
          <w:lang w:val="es-MX" w:eastAsia="es-MX"/>
        </w:rPr>
        <w:t xml:space="preserve"> inte</w:t>
      </w:r>
      <w:r w:rsidR="0063709F">
        <w:rPr>
          <w:rFonts w:eastAsia="Times New Roman"/>
          <w:lang w:val="es-MX" w:eastAsia="es-MX"/>
        </w:rPr>
        <w:t>rrumpen</w:t>
      </w:r>
      <w:r w:rsidR="00DF7692" w:rsidRPr="00DF7692">
        <w:rPr>
          <w:rFonts w:eastAsia="Times New Roman"/>
          <w:lang w:val="es-MX" w:eastAsia="es-MX"/>
        </w:rPr>
        <w:t xml:space="preserve"> el curso </w:t>
      </w:r>
      <w:r w:rsidR="00EF1383">
        <w:rPr>
          <w:rFonts w:eastAsia="Times New Roman"/>
          <w:lang w:val="es-MX" w:eastAsia="es-MX"/>
        </w:rPr>
        <w:t xml:space="preserve">normal de </w:t>
      </w:r>
      <w:r w:rsidR="0063709F">
        <w:rPr>
          <w:rFonts w:eastAsia="Times New Roman"/>
          <w:lang w:val="es-MX" w:eastAsia="es-MX"/>
        </w:rPr>
        <w:t xml:space="preserve">los </w:t>
      </w:r>
      <w:r w:rsidR="00EF1383">
        <w:rPr>
          <w:rFonts w:eastAsia="Times New Roman"/>
          <w:lang w:val="es-MX" w:eastAsia="es-MX"/>
        </w:rPr>
        <w:t>eventos sociales</w:t>
      </w:r>
      <w:r w:rsidR="00AF4D82">
        <w:rPr>
          <w:rFonts w:eastAsia="Times New Roman"/>
          <w:lang w:val="es-MX" w:eastAsia="es-MX"/>
        </w:rPr>
        <w:t xml:space="preserve">, entre otros factores </w:t>
      </w:r>
      <w:r w:rsidR="0062736C">
        <w:rPr>
          <w:rFonts w:eastAsia="Times New Roman"/>
          <w:lang w:val="es-MX" w:eastAsia="es-MX"/>
        </w:rPr>
        <w:t xml:space="preserve">que </w:t>
      </w:r>
      <w:r w:rsidR="0063709F">
        <w:rPr>
          <w:rFonts w:eastAsia="Times New Roman"/>
          <w:lang w:val="es-MX" w:eastAsia="es-MX"/>
        </w:rPr>
        <w:t>deteriora</w:t>
      </w:r>
      <w:r w:rsidR="00AC4185">
        <w:rPr>
          <w:rFonts w:eastAsia="Times New Roman"/>
          <w:lang w:val="es-MX" w:eastAsia="es-MX"/>
        </w:rPr>
        <w:t>n</w:t>
      </w:r>
      <w:r w:rsidR="00E174E6">
        <w:rPr>
          <w:rFonts w:eastAsia="Times New Roman"/>
          <w:lang w:val="es-MX" w:eastAsia="es-MX"/>
        </w:rPr>
        <w:t xml:space="preserve"> su calidad de vida</w:t>
      </w:r>
      <w:r w:rsidR="00C509B7">
        <w:rPr>
          <w:rFonts w:eastAsia="Times New Roman"/>
          <w:lang w:val="es-MX" w:eastAsia="es-MX"/>
        </w:rPr>
        <w:t xml:space="preserve"> </w:t>
      </w:r>
      <w:r w:rsidR="0063709F" w:rsidRPr="00D21E79">
        <w:rPr>
          <w:rFonts w:eastAsia="Times New Roman"/>
          <w:lang w:eastAsia="es-MX"/>
        </w:rPr>
        <w:t>(</w:t>
      </w:r>
      <w:r w:rsidR="00B2599D" w:rsidRPr="00D21E79">
        <w:rPr>
          <w:rFonts w:eastAsia="Times New Roman"/>
          <w:lang w:eastAsia="es-MX"/>
        </w:rPr>
        <w:t>26</w:t>
      </w:r>
      <w:r w:rsidR="00C509B7" w:rsidRPr="00D21E79">
        <w:rPr>
          <w:rFonts w:eastAsia="Times New Roman"/>
          <w:lang w:eastAsia="es-MX"/>
        </w:rPr>
        <w:t>)</w:t>
      </w:r>
      <w:r w:rsidR="00E174E6">
        <w:rPr>
          <w:rFonts w:eastAsia="Times New Roman"/>
          <w:lang w:eastAsia="es-MX"/>
        </w:rPr>
        <w:t>.</w:t>
      </w:r>
    </w:p>
    <w:p w:rsidR="00E357EB" w:rsidRDefault="00695ABF" w:rsidP="006A48D0">
      <w:r>
        <w:t>Entre l</w:t>
      </w:r>
      <w:r w:rsidR="000A2BA9">
        <w:t xml:space="preserve">as investigaciones incluidas en este estudio </w:t>
      </w:r>
      <w:r>
        <w:t xml:space="preserve">las más frecuentes </w:t>
      </w:r>
      <w:r>
        <w:t>fueron</w:t>
      </w:r>
      <w:r>
        <w:t xml:space="preserve"> </w:t>
      </w:r>
      <w:r w:rsidR="000A2BA9">
        <w:t>la</w:t>
      </w:r>
      <w:r>
        <w:t>s referidas a la</w:t>
      </w:r>
      <w:r w:rsidR="000A2BA9">
        <w:t xml:space="preserve"> evaluación de la</w:t>
      </w:r>
      <w:r>
        <w:t xml:space="preserve"> CVRS</w:t>
      </w:r>
      <w:r w:rsidR="000A2BA9">
        <w:t xml:space="preserve"> en las personas que viven con VIH/SIDA (47,5%)</w:t>
      </w:r>
      <w:r w:rsidR="00042E62">
        <w:t xml:space="preserve">, </w:t>
      </w:r>
      <w:r>
        <w:t xml:space="preserve">esto podría atribuirse a </w:t>
      </w:r>
      <w:r w:rsidR="00042E62">
        <w:t>los av</w:t>
      </w:r>
      <w:r w:rsidR="0056135B">
        <w:t xml:space="preserve">ances terapéuticos </w:t>
      </w:r>
      <w:r>
        <w:t xml:space="preserve">que </w:t>
      </w:r>
      <w:r w:rsidR="0056135B">
        <w:t xml:space="preserve">han constituido a la infección en una enfermedad crónica tratable, y </w:t>
      </w:r>
      <w:r w:rsidR="00E72410">
        <w:t xml:space="preserve">en este sentido </w:t>
      </w:r>
      <w:r w:rsidR="0058587E">
        <w:t>comienzan a tomar pre</w:t>
      </w:r>
      <w:r w:rsidR="00042E62">
        <w:t>ponderancia aspectos como el man</w:t>
      </w:r>
      <w:r w:rsidR="0056135B">
        <w:t>ejo integral del paciente</w:t>
      </w:r>
      <w:r w:rsidR="0062736C">
        <w:t>.</w:t>
      </w:r>
      <w:r w:rsidR="00973DA2">
        <w:t xml:space="preserve"> Adicional a lo anterior</w:t>
      </w:r>
      <w:r w:rsidR="00561CEE">
        <w:t>,</w:t>
      </w:r>
      <w:r w:rsidR="00973DA2">
        <w:t xml:space="preserve"> el VIH</w:t>
      </w:r>
      <w:r>
        <w:t>/SIDA</w:t>
      </w:r>
      <w:r w:rsidR="00973DA2">
        <w:t xml:space="preserve"> constituye una infección de alto costo, </w:t>
      </w:r>
      <w:r w:rsidR="00685454">
        <w:t xml:space="preserve">de </w:t>
      </w:r>
      <w:r w:rsidR="00973DA2">
        <w:t>distribución mundial y forma parte de los objetivos de desarrollo del milenio</w:t>
      </w:r>
      <w:r>
        <w:t>,</w:t>
      </w:r>
      <w:r w:rsidR="00973DA2">
        <w:t xml:space="preserve"> lo que aumenta el interés de los investigadores por realizar estudios sobre este</w:t>
      </w:r>
      <w:r w:rsidR="00B2599D">
        <w:t xml:space="preserve"> tópico (</w:t>
      </w:r>
      <w:r w:rsidR="004453DA">
        <w:t>14, 27</w:t>
      </w:r>
      <w:r w:rsidR="00973DA2">
        <w:t>).</w:t>
      </w:r>
    </w:p>
    <w:p w:rsidR="002F52E4" w:rsidRDefault="0062736C" w:rsidP="006A48D0">
      <w:r>
        <w:t>Los artículos</w:t>
      </w:r>
      <w:r w:rsidR="00054179">
        <w:t xml:space="preserve"> que incluyen personas con hepatitis B o C representan el 24,8% de la población de estudio</w:t>
      </w:r>
      <w:r w:rsidR="00AC13F0">
        <w:t xml:space="preserve"> y corresponden a sujetos con infecciones crónicas</w:t>
      </w:r>
      <w:r w:rsidR="00054179">
        <w:t xml:space="preserve"> </w:t>
      </w:r>
      <w:r w:rsidR="00AC13F0">
        <w:t xml:space="preserve">(498 sujetos). </w:t>
      </w:r>
      <w:r w:rsidR="001D4927">
        <w:t xml:space="preserve">Este abordaje </w:t>
      </w:r>
      <w:r w:rsidR="00DC1077">
        <w:t xml:space="preserve">podría </w:t>
      </w:r>
      <w:r w:rsidR="001D4927">
        <w:t>justifica</w:t>
      </w:r>
      <w:r w:rsidR="00DC1077">
        <w:t xml:space="preserve">rse en </w:t>
      </w:r>
      <w:r w:rsidR="001D4927">
        <w:t xml:space="preserve">que la mayoría de las infecciones agudas mejoran </w:t>
      </w:r>
      <w:r w:rsidR="002F52E4">
        <w:t>espontáneamente</w:t>
      </w:r>
      <w:r w:rsidR="00DC1077">
        <w:t>;</w:t>
      </w:r>
      <w:r w:rsidR="001D4927">
        <w:t xml:space="preserve"> </w:t>
      </w:r>
      <w:r w:rsidR="00DC1077">
        <w:t>sin embargo</w:t>
      </w:r>
      <w:r w:rsidR="00054179">
        <w:t xml:space="preserve">, </w:t>
      </w:r>
      <w:r w:rsidR="001D4927">
        <w:t xml:space="preserve">las personas con infecciones </w:t>
      </w:r>
      <w:r w:rsidR="001D4927">
        <w:lastRenderedPageBreak/>
        <w:t xml:space="preserve">crónicas </w:t>
      </w:r>
      <w:r w:rsidR="00D115F2">
        <w:t xml:space="preserve">como el VHB o VHC </w:t>
      </w:r>
      <w:r w:rsidR="00674164">
        <w:t xml:space="preserve">están en riesgo </w:t>
      </w:r>
      <w:r w:rsidR="00EE42BF">
        <w:t xml:space="preserve">de desarrollar </w:t>
      </w:r>
      <w:r w:rsidR="00674164">
        <w:t xml:space="preserve">cirrosis hepática </w:t>
      </w:r>
      <w:r w:rsidR="00EE42BF">
        <w:t xml:space="preserve">y carcinoma </w:t>
      </w:r>
      <w:proofErr w:type="spellStart"/>
      <w:r w:rsidR="00EE42BF">
        <w:t>hepatocelular</w:t>
      </w:r>
      <w:proofErr w:type="spellEnd"/>
      <w:r w:rsidR="00674164">
        <w:t xml:space="preserve"> (</w:t>
      </w:r>
      <w:r w:rsidR="00EF0654">
        <w:t>28</w:t>
      </w:r>
      <w:r w:rsidR="00674164">
        <w:t>)</w:t>
      </w:r>
      <w:r w:rsidR="001D4927">
        <w:t xml:space="preserve">, lo que evidencia la necesidad de evaluar la evolución de </w:t>
      </w:r>
      <w:r w:rsidR="009B59D9">
        <w:t>l</w:t>
      </w:r>
      <w:r w:rsidR="001D4927">
        <w:t>a infección y l</w:t>
      </w:r>
      <w:r w:rsidR="00372239">
        <w:t>os efectos de l</w:t>
      </w:r>
      <w:r w:rsidR="001D4927">
        <w:t>a intervención terapéutica</w:t>
      </w:r>
      <w:r w:rsidR="009B59D9">
        <w:t>,</w:t>
      </w:r>
      <w:r w:rsidR="001D4927">
        <w:t xml:space="preserve"> </w:t>
      </w:r>
      <w:r w:rsidR="00372239">
        <w:t xml:space="preserve">a partir de </w:t>
      </w:r>
      <w:r w:rsidR="001D4927">
        <w:t xml:space="preserve">instrumentos que </w:t>
      </w:r>
      <w:r w:rsidR="002F52E4">
        <w:t xml:space="preserve">incluyan </w:t>
      </w:r>
      <w:r w:rsidR="001D4927">
        <w:t xml:space="preserve">otros </w:t>
      </w:r>
      <w:r w:rsidR="002F52E4">
        <w:t>aspectos</w:t>
      </w:r>
      <w:r w:rsidR="00B467F7">
        <w:t xml:space="preserve"> </w:t>
      </w:r>
      <w:r w:rsidR="009B59D9">
        <w:t>de</w:t>
      </w:r>
      <w:r w:rsidR="001D4927">
        <w:t xml:space="preserve"> </w:t>
      </w:r>
      <w:r w:rsidR="00DC1077">
        <w:t xml:space="preserve">la cotidianidad </w:t>
      </w:r>
      <w:r w:rsidR="00B467F7">
        <w:t>c</w:t>
      </w:r>
      <w:r w:rsidR="004D48A1">
        <w:t>omo</w:t>
      </w:r>
      <w:r w:rsidR="00B467F7">
        <w:t xml:space="preserve"> </w:t>
      </w:r>
      <w:r w:rsidR="009F4C1B">
        <w:t>fatiga, depresión, percepción de funcionalidad</w:t>
      </w:r>
      <w:r w:rsidR="00714BC0">
        <w:t>, incertidumbre sobre el pronóstico</w:t>
      </w:r>
      <w:r w:rsidR="004D48A1">
        <w:t xml:space="preserve"> y</w:t>
      </w:r>
      <w:r w:rsidR="00714BC0">
        <w:t xml:space="preserve"> temor </w:t>
      </w:r>
      <w:r w:rsidR="00E6451E">
        <w:t>por</w:t>
      </w:r>
      <w:r w:rsidR="00714BC0">
        <w:t xml:space="preserve"> el desarrollo de complicaciones</w:t>
      </w:r>
      <w:r w:rsidR="00EE42BF">
        <w:t xml:space="preserve"> </w:t>
      </w:r>
      <w:r w:rsidR="002F52E4">
        <w:t>(15, 29)</w:t>
      </w:r>
      <w:r w:rsidR="00E174E6">
        <w:t>.</w:t>
      </w:r>
    </w:p>
    <w:p w:rsidR="00E357EB" w:rsidRDefault="00E62D32" w:rsidP="006A48D0">
      <w:r>
        <w:t xml:space="preserve">Los estudios realizados en personas con </w:t>
      </w:r>
      <w:r w:rsidR="0015457C">
        <w:t>Lepra</w:t>
      </w:r>
      <w:r>
        <w:t xml:space="preserve"> se centran en India y Brasil,</w:t>
      </w:r>
      <w:r w:rsidR="008D595C">
        <w:t xml:space="preserve"> coincid</w:t>
      </w:r>
      <w:r w:rsidR="00AA22A6">
        <w:t>i</w:t>
      </w:r>
      <w:r w:rsidR="008D595C">
        <w:t>e</w:t>
      </w:r>
      <w:r w:rsidR="00AA22A6">
        <w:t>ndo</w:t>
      </w:r>
      <w:r>
        <w:t xml:space="preserve"> con la distribución mundial de la infección</w:t>
      </w:r>
      <w:r w:rsidR="00DC2420">
        <w:t>,</w:t>
      </w:r>
      <w:r>
        <w:t xml:space="preserve"> ya que en estos países </w:t>
      </w:r>
      <w:r w:rsidR="00657E74">
        <w:t>la enfermedad es endémica</w:t>
      </w:r>
      <w:r w:rsidR="008D595C">
        <w:t xml:space="preserve"> </w:t>
      </w:r>
      <w:r w:rsidR="004513E8">
        <w:t>(30</w:t>
      </w:r>
      <w:r>
        <w:t>).</w:t>
      </w:r>
      <w:r w:rsidR="00DC2420">
        <w:t xml:space="preserve"> </w:t>
      </w:r>
      <w:r w:rsidR="008D595C">
        <w:t xml:space="preserve">Con respecto a Brasil, el 8% de los casos nuevos se encontraron en menores de 15 años, el 53% son </w:t>
      </w:r>
      <w:proofErr w:type="spellStart"/>
      <w:r w:rsidR="008D595C">
        <w:t>multibacilares</w:t>
      </w:r>
      <w:proofErr w:type="spellEnd"/>
      <w:r w:rsidR="008D595C">
        <w:t xml:space="preserve"> y el 6% tienen un grado de discapacidad 2. </w:t>
      </w:r>
      <w:r w:rsidR="000A73FD">
        <w:t xml:space="preserve">En este contexto, </w:t>
      </w:r>
      <w:r w:rsidR="00CC3672">
        <w:t>se justifica el desarrollo de</w:t>
      </w:r>
      <w:r w:rsidR="000A73FD">
        <w:t xml:space="preserve"> estudios de </w:t>
      </w:r>
      <w:r w:rsidR="00C0140F">
        <w:t xml:space="preserve">CVRS </w:t>
      </w:r>
      <w:r w:rsidR="000A73FD">
        <w:t>en los países endémicos porque se ha demostrado que</w:t>
      </w:r>
      <w:r w:rsidR="005168DA">
        <w:t xml:space="preserve"> </w:t>
      </w:r>
      <w:r w:rsidR="000A73FD">
        <w:t xml:space="preserve">las personas con lepra </w:t>
      </w:r>
      <w:r w:rsidR="005168DA">
        <w:t xml:space="preserve">presentan </w:t>
      </w:r>
      <w:r w:rsidR="00185F38">
        <w:t>disfunción física,</w:t>
      </w:r>
      <w:r w:rsidR="000A73FD">
        <w:t xml:space="preserve"> limitacion</w:t>
      </w:r>
      <w:r w:rsidR="00185F38">
        <w:t>es para acceder al empleo, bajos</w:t>
      </w:r>
      <w:r w:rsidR="000A73FD">
        <w:t xml:space="preserve"> ingresos familiares</w:t>
      </w:r>
      <w:r w:rsidR="00AA22A6">
        <w:t>,</w:t>
      </w:r>
      <w:r w:rsidR="00185F38">
        <w:t xml:space="preserve"> </w:t>
      </w:r>
      <w:r w:rsidR="00CC3672">
        <w:t>restricciones en la participación social</w:t>
      </w:r>
      <w:r w:rsidR="00185F38">
        <w:t>,</w:t>
      </w:r>
      <w:r w:rsidR="004D48A1">
        <w:t xml:space="preserve"> </w:t>
      </w:r>
      <w:r w:rsidR="00AA22A6">
        <w:t xml:space="preserve">estigmatización y </w:t>
      </w:r>
      <w:r w:rsidR="000A73FD">
        <w:t>discriminación</w:t>
      </w:r>
      <w:r w:rsidR="00CC3672">
        <w:t xml:space="preserve"> </w:t>
      </w:r>
      <w:r w:rsidR="00CC3672" w:rsidRPr="008207FC">
        <w:t>(</w:t>
      </w:r>
      <w:r w:rsidR="004513E8" w:rsidRPr="008207FC">
        <w:t>2</w:t>
      </w:r>
      <w:r w:rsidR="00CC3672" w:rsidRPr="008207FC">
        <w:t xml:space="preserve">, </w:t>
      </w:r>
      <w:r w:rsidR="004513E8" w:rsidRPr="008207FC">
        <w:t>31</w:t>
      </w:r>
      <w:r w:rsidR="00CC3672" w:rsidRPr="008207FC">
        <w:t>)</w:t>
      </w:r>
      <w:r w:rsidR="007D011B">
        <w:t>.</w:t>
      </w:r>
    </w:p>
    <w:p w:rsidR="00CA7B94" w:rsidRDefault="00185F38" w:rsidP="006A48D0">
      <w:r w:rsidRPr="00185F38">
        <w:t xml:space="preserve">Los </w:t>
      </w:r>
      <w:r w:rsidR="004C0632">
        <w:rPr>
          <w:lang w:val="es-CO"/>
        </w:rPr>
        <w:t xml:space="preserve">estudios </w:t>
      </w:r>
      <w:r w:rsidRPr="00185F38">
        <w:t xml:space="preserve">en personas con enfermedad de </w:t>
      </w:r>
      <w:r w:rsidR="00405F75">
        <w:t>C</w:t>
      </w:r>
      <w:r w:rsidR="00EE150D">
        <w:t xml:space="preserve">hagas e infección por HTLV-1 </w:t>
      </w:r>
      <w:r w:rsidR="004C0632">
        <w:t>agrupan</w:t>
      </w:r>
      <w:r w:rsidR="00EE150D">
        <w:t xml:space="preserve"> el 9,1% del total de los sujetos</w:t>
      </w:r>
      <w:r w:rsidR="008F0559">
        <w:t>;</w:t>
      </w:r>
      <w:r w:rsidR="00EE150D">
        <w:t xml:space="preserve"> no obstante, estas investigaciones son exiguas en comparación con la carga de morbilidad y mortalidad que generan, ya que </w:t>
      </w:r>
      <w:r w:rsidR="00CE7247">
        <w:t>s</w:t>
      </w:r>
      <w:r w:rsidR="0046683F">
        <w:t>ó</w:t>
      </w:r>
      <w:r w:rsidR="00CE7247">
        <w:t xml:space="preserve">lo la enfermedad de Chagas </w:t>
      </w:r>
      <w:r w:rsidR="004D48A1">
        <w:t>afecta a</w:t>
      </w:r>
      <w:r w:rsidR="00EE150D">
        <w:t xml:space="preserve"> cerca de 9 millones de personas </w:t>
      </w:r>
      <w:r w:rsidR="00163DD4">
        <w:t>(</w:t>
      </w:r>
      <w:r w:rsidR="008207FC">
        <w:t>32</w:t>
      </w:r>
      <w:r w:rsidR="00163DD4">
        <w:t>)</w:t>
      </w:r>
      <w:r w:rsidR="0046683F">
        <w:t>.</w:t>
      </w:r>
    </w:p>
    <w:p w:rsidR="00E357EB" w:rsidRDefault="00CA7B94" w:rsidP="006A48D0">
      <w:r>
        <w:t>Por otra parte, n</w:t>
      </w:r>
      <w:r w:rsidR="00EE150D">
        <w:t xml:space="preserve">o </w:t>
      </w:r>
      <w:r w:rsidR="0046683F">
        <w:t xml:space="preserve">se hallaron </w:t>
      </w:r>
      <w:r w:rsidR="00EE150D">
        <w:t xml:space="preserve">estudios </w:t>
      </w:r>
      <w:r w:rsidR="00782F3C">
        <w:t xml:space="preserve">que </w:t>
      </w:r>
      <w:r w:rsidR="00EE150D">
        <w:t>hicieran referencia a</w:t>
      </w:r>
      <w:r w:rsidR="00CE7247">
        <w:t xml:space="preserve"> la </w:t>
      </w:r>
      <w:r>
        <w:t xml:space="preserve">CVRS </w:t>
      </w:r>
      <w:r w:rsidR="00EE150D">
        <w:t>e</w:t>
      </w:r>
      <w:r w:rsidR="00CE7247">
        <w:t>n</w:t>
      </w:r>
      <w:r w:rsidR="00EE150D">
        <w:t xml:space="preserve"> personas con</w:t>
      </w:r>
      <w:r w:rsidR="00782F3C">
        <w:t xml:space="preserve"> </w:t>
      </w:r>
      <w:r>
        <w:t xml:space="preserve">otras </w:t>
      </w:r>
      <w:r w:rsidR="00782F3C">
        <w:t xml:space="preserve">enfermedades </w:t>
      </w:r>
      <w:r>
        <w:t>infecciosas</w:t>
      </w:r>
      <w:r w:rsidR="00CE7247">
        <w:t xml:space="preserve"> como </w:t>
      </w:r>
      <w:proofErr w:type="spellStart"/>
      <w:r w:rsidR="00CE7247">
        <w:t>leishmania</w:t>
      </w:r>
      <w:proofErr w:type="spellEnd"/>
      <w:r w:rsidR="00CE7247">
        <w:t xml:space="preserve">, </w:t>
      </w:r>
      <w:r w:rsidR="00782F3C">
        <w:t xml:space="preserve">tracoma, cisticercosis, </w:t>
      </w:r>
      <w:proofErr w:type="spellStart"/>
      <w:r w:rsidR="00782F3C">
        <w:t>filariasis</w:t>
      </w:r>
      <w:proofErr w:type="spellEnd"/>
      <w:r w:rsidR="00782F3C">
        <w:t xml:space="preserve"> linfática</w:t>
      </w:r>
      <w:r>
        <w:t xml:space="preserve"> y</w:t>
      </w:r>
      <w:r w:rsidR="00782F3C">
        <w:t xml:space="preserve"> </w:t>
      </w:r>
      <w:proofErr w:type="spellStart"/>
      <w:r w:rsidR="00782F3C">
        <w:t>oncocercosis</w:t>
      </w:r>
      <w:proofErr w:type="spellEnd"/>
      <w:r w:rsidR="00782F3C">
        <w:t>,</w:t>
      </w:r>
      <w:r w:rsidR="00CE7247">
        <w:t xml:space="preserve"> </w:t>
      </w:r>
      <w:r w:rsidR="004C1328">
        <w:t xml:space="preserve">ya que las estrategias para abordar estas infecciones se han centrado en </w:t>
      </w:r>
      <w:r w:rsidR="00290B95">
        <w:t>el tratamiento masivo de las personas infectadas y en menor medida en la prevención de la infección</w:t>
      </w:r>
      <w:r>
        <w:t>; además, en estas entidades se</w:t>
      </w:r>
      <w:r w:rsidR="00290B95">
        <w:t xml:space="preserve"> ha</w:t>
      </w:r>
      <w:r w:rsidR="00A33D58">
        <w:t xml:space="preserve"> </w:t>
      </w:r>
      <w:r w:rsidR="00290B95">
        <w:t xml:space="preserve">desvirtuado la </w:t>
      </w:r>
      <w:r>
        <w:t xml:space="preserve">importancia de la </w:t>
      </w:r>
      <w:r w:rsidR="00290B95">
        <w:t xml:space="preserve">percepción que las personas tienen </w:t>
      </w:r>
      <w:r w:rsidR="00290B95">
        <w:lastRenderedPageBreak/>
        <w:t>de la enfermedad y la manera c</w:t>
      </w:r>
      <w:r>
        <w:t>ó</w:t>
      </w:r>
      <w:r w:rsidR="00290B95">
        <w:t>mo las lesiones y las discapacidades repercuten en su calidad de vida</w:t>
      </w:r>
      <w:r>
        <w:t xml:space="preserve"> </w:t>
      </w:r>
      <w:r w:rsidR="00163DD4">
        <w:t>(</w:t>
      </w:r>
      <w:r w:rsidR="008207FC">
        <w:t>2, 30</w:t>
      </w:r>
      <w:r w:rsidR="00163DD4">
        <w:t>)</w:t>
      </w:r>
      <w:r w:rsidR="0046683F">
        <w:t>.</w:t>
      </w:r>
    </w:p>
    <w:p w:rsidR="007F385D" w:rsidRDefault="004D48A1" w:rsidP="006A48D0">
      <w:r>
        <w:t>En alusión</w:t>
      </w:r>
      <w:r w:rsidR="00A75FE7">
        <w:t xml:space="preserve"> a los </w:t>
      </w:r>
      <w:r w:rsidR="0087485A">
        <w:t>puntajes</w:t>
      </w:r>
      <w:r w:rsidR="00A75FE7">
        <w:t xml:space="preserve"> de </w:t>
      </w:r>
      <w:r w:rsidR="00DD775E">
        <w:t>CVRS</w:t>
      </w:r>
      <w:r w:rsidR="00EC600B">
        <w:t xml:space="preserve"> </w:t>
      </w:r>
      <w:r w:rsidR="0087485A">
        <w:t>en las personas que viven co</w:t>
      </w:r>
      <w:r w:rsidR="00614153">
        <w:t>n VIH/S</w:t>
      </w:r>
      <w:r w:rsidR="00B20A9F">
        <w:t>IDA</w:t>
      </w:r>
      <w:r w:rsidR="00055437">
        <w:t>,</w:t>
      </w:r>
      <w:r w:rsidR="00B20A9F">
        <w:t xml:space="preserve"> </w:t>
      </w:r>
      <w:r w:rsidR="00055437">
        <w:t>estos</w:t>
      </w:r>
      <w:r w:rsidR="00B20A9F">
        <w:t xml:space="preserve"> oscilaron de</w:t>
      </w:r>
      <w:r w:rsidR="00614153">
        <w:t xml:space="preserve"> </w:t>
      </w:r>
      <w:r w:rsidR="00AB33EC">
        <w:t>59</w:t>
      </w:r>
      <w:r w:rsidR="00B20A9F">
        <w:t xml:space="preserve"> a</w:t>
      </w:r>
      <w:r w:rsidR="00614153">
        <w:t xml:space="preserve"> 64,</w:t>
      </w:r>
      <w:r w:rsidR="00AE2B5B">
        <w:t xml:space="preserve"> </w:t>
      </w:r>
      <w:r w:rsidR="00B20A9F">
        <w:t>y los dominios que aluden a las relaciones sociales y el ambiente presentaron pu</w:t>
      </w:r>
      <w:r w:rsidR="00055437">
        <w:t>ntajes estadísticamente menores.</w:t>
      </w:r>
      <w:r w:rsidR="00B20A9F">
        <w:t xml:space="preserve"> </w:t>
      </w:r>
      <w:r w:rsidR="00055437">
        <w:t>Esto</w:t>
      </w:r>
      <w:r w:rsidR="00AB33EC">
        <w:t xml:space="preserve"> </w:t>
      </w:r>
      <w:r w:rsidR="00AB33EC" w:rsidRPr="008206EC">
        <w:t>afianza la concepción del VIH/</w:t>
      </w:r>
      <w:r w:rsidR="00AB33EC">
        <w:t>SIDA</w:t>
      </w:r>
      <w:r w:rsidR="00AB33EC" w:rsidRPr="008206EC">
        <w:t xml:space="preserve"> como una infección crónica tratable</w:t>
      </w:r>
      <w:r w:rsidR="00055437">
        <w:t>,</w:t>
      </w:r>
      <w:r w:rsidR="00AB33EC" w:rsidRPr="008206EC">
        <w:t xml:space="preserve"> en la</w:t>
      </w:r>
      <w:r w:rsidR="00AB33EC">
        <w:t xml:space="preserve"> </w:t>
      </w:r>
      <w:r w:rsidR="00AB33EC" w:rsidRPr="008206EC">
        <w:t xml:space="preserve">cual, una vez atendidos </w:t>
      </w:r>
      <w:r w:rsidR="00614153">
        <w:t xml:space="preserve">los </w:t>
      </w:r>
      <w:r w:rsidR="00AB33EC" w:rsidRPr="008206EC">
        <w:t>aspectos biológicos</w:t>
      </w:r>
      <w:r w:rsidR="00AB33EC">
        <w:t xml:space="preserve"> </w:t>
      </w:r>
      <w:r w:rsidR="00614153">
        <w:t xml:space="preserve">y </w:t>
      </w:r>
      <w:r w:rsidR="00B723CD">
        <w:t>p</w:t>
      </w:r>
      <w:r w:rsidR="00614153">
        <w:t>sicológicos</w:t>
      </w:r>
      <w:r w:rsidR="00AB33EC" w:rsidRPr="008206EC">
        <w:t>, se deben focalizar las acciones en</w:t>
      </w:r>
      <w:r w:rsidR="00614153">
        <w:t xml:space="preserve"> </w:t>
      </w:r>
      <w:r w:rsidR="00B20A9F">
        <w:t>otras</w:t>
      </w:r>
      <w:r w:rsidR="00AB33EC" w:rsidRPr="008206EC">
        <w:t xml:space="preserve"> dim</w:t>
      </w:r>
      <w:r w:rsidR="00285489">
        <w:t>ensiones</w:t>
      </w:r>
      <w:r w:rsidR="00B20A9F">
        <w:t xml:space="preserve"> importantes</w:t>
      </w:r>
      <w:r w:rsidR="00AB33EC" w:rsidRPr="008206EC">
        <w:t xml:space="preserve"> como la</w:t>
      </w:r>
      <w:r w:rsidR="00614153">
        <w:t xml:space="preserve">s relaciones </w:t>
      </w:r>
      <w:r w:rsidR="00AB33EC" w:rsidRPr="008206EC">
        <w:t>social</w:t>
      </w:r>
      <w:r w:rsidR="00614153">
        <w:t>es y el entorno físico (</w:t>
      </w:r>
      <w:r w:rsidR="008207FC">
        <w:t>14</w:t>
      </w:r>
      <w:r w:rsidR="00614153">
        <w:t>)</w:t>
      </w:r>
      <w:r w:rsidR="007F385D">
        <w:t>. La</w:t>
      </w:r>
      <w:r w:rsidR="00055437" w:rsidRPr="00055437">
        <w:t xml:space="preserve"> </w:t>
      </w:r>
      <w:r w:rsidR="00055437">
        <w:t xml:space="preserve">estigmatización y el abandono están muy ligados al VIH/SIDA ya que persisten temores irracionales al contagio, lo que se ve reflejado en el puntaje de las </w:t>
      </w:r>
      <w:r w:rsidR="007F385D">
        <w:t xml:space="preserve"> relaciones sociales </w:t>
      </w:r>
      <w:r w:rsidR="00446308">
        <w:t>(</w:t>
      </w:r>
      <w:r w:rsidR="008207FC">
        <w:t>6</w:t>
      </w:r>
      <w:r w:rsidR="00446308">
        <w:t>)</w:t>
      </w:r>
      <w:r w:rsidR="00D63A67">
        <w:t>.</w:t>
      </w:r>
    </w:p>
    <w:p w:rsidR="00AB33EC" w:rsidRDefault="00285489" w:rsidP="006A48D0">
      <w:r>
        <w:t>Con respecto a lepra</w:t>
      </w:r>
      <w:r w:rsidR="008B0F1F">
        <w:t>,</w:t>
      </w:r>
      <w:r>
        <w:t xml:space="preserve"> los puntajes del dominio físico, psicológico y ambiental fueron menores que en las demás infec</w:t>
      </w:r>
      <w:r w:rsidR="00B20A9F">
        <w:t>ciones</w:t>
      </w:r>
      <w:r w:rsidR="004D48A1">
        <w:t>,</w:t>
      </w:r>
      <w:r w:rsidR="0060090D">
        <w:t xml:space="preserve"> presentando</w:t>
      </w:r>
      <w:r w:rsidR="00A86B80">
        <w:t xml:space="preserve"> diferencias significativas</w:t>
      </w:r>
      <w:r w:rsidR="00A06E01">
        <w:t xml:space="preserve"> en los dominios físico</w:t>
      </w:r>
      <w:r w:rsidR="007A7991">
        <w:t xml:space="preserve"> (excepto HTLV-1) </w:t>
      </w:r>
      <w:r w:rsidR="00A238C8">
        <w:t>y psicológico.</w:t>
      </w:r>
      <w:r w:rsidR="00A06E01">
        <w:t xml:space="preserve"> </w:t>
      </w:r>
      <w:r w:rsidR="00A238C8">
        <w:t xml:space="preserve">Esto </w:t>
      </w:r>
      <w:r w:rsidR="00A06E01">
        <w:t xml:space="preserve">está estrechamente relacionado con </w:t>
      </w:r>
      <w:r w:rsidR="00A86B80">
        <w:t>las deformidades físicas y discapacidades</w:t>
      </w:r>
      <w:r w:rsidR="00A238C8">
        <w:t xml:space="preserve"> generada</w:t>
      </w:r>
      <w:r w:rsidR="00A86B80">
        <w:t>s por la infección,</w:t>
      </w:r>
      <w:r w:rsidR="00A238C8">
        <w:t xml:space="preserve"> lo</w:t>
      </w:r>
      <w:r w:rsidR="00A86B80">
        <w:t xml:space="preserve"> que </w:t>
      </w:r>
      <w:r w:rsidR="00A238C8">
        <w:t xml:space="preserve">a la vez </w:t>
      </w:r>
      <w:r w:rsidR="00A86B80">
        <w:t xml:space="preserve">redunda en </w:t>
      </w:r>
      <w:r w:rsidR="00A238C8">
        <w:t xml:space="preserve">inconformidad </w:t>
      </w:r>
      <w:r w:rsidR="00A86B80">
        <w:t xml:space="preserve">con </w:t>
      </w:r>
      <w:r w:rsidR="007F385D">
        <w:t>el</w:t>
      </w:r>
      <w:r w:rsidR="00A86B80">
        <w:t xml:space="preserve"> aspecto físico</w:t>
      </w:r>
      <w:r w:rsidR="00A238C8">
        <w:t xml:space="preserve"> y en </w:t>
      </w:r>
      <w:r w:rsidR="00A86B80">
        <w:t xml:space="preserve">emociones negativas como tristeza, ira, culpa, vergüenza y miedo a relacionarse con los </w:t>
      </w:r>
      <w:r w:rsidR="00E61731">
        <w:t>demás (</w:t>
      </w:r>
      <w:r w:rsidR="00DA7178">
        <w:t>18</w:t>
      </w:r>
      <w:r w:rsidR="00A238C8">
        <w:t>)</w:t>
      </w:r>
      <w:r w:rsidR="00D63A67">
        <w:t>.</w:t>
      </w:r>
    </w:p>
    <w:p w:rsidR="00E174E6" w:rsidRDefault="009429A9" w:rsidP="006A48D0">
      <w:r>
        <w:t>Las infecciones por hepatitis, C</w:t>
      </w:r>
      <w:r w:rsidR="007A7991">
        <w:t xml:space="preserve">hagas y HTLV-1 presentaron puntajes intermedios </w:t>
      </w:r>
      <w:r w:rsidR="009F1FE3">
        <w:t xml:space="preserve">de CVRS </w:t>
      </w:r>
      <w:r w:rsidR="007A7991">
        <w:t xml:space="preserve">que oscilaron entre 50 y 65, siendo mayor </w:t>
      </w:r>
      <w:r w:rsidR="009F1FE3">
        <w:t xml:space="preserve">el </w:t>
      </w:r>
      <w:r w:rsidR="007A7991">
        <w:t xml:space="preserve">puntaje obtenido </w:t>
      </w:r>
      <w:r w:rsidR="009F1FE3">
        <w:t xml:space="preserve">en </w:t>
      </w:r>
      <w:r w:rsidR="007A7991">
        <w:t>las relaciones sociale</w:t>
      </w:r>
      <w:r w:rsidR="00D96517">
        <w:t>s de las personas con Hepatitis.</w:t>
      </w:r>
      <w:r w:rsidR="007A7991">
        <w:t xml:space="preserve"> </w:t>
      </w:r>
      <w:r w:rsidR="00D96517">
        <w:t xml:space="preserve">Ello </w:t>
      </w:r>
      <w:r w:rsidR="007A7991">
        <w:t>pone de manifiesto que</w:t>
      </w:r>
      <w:r w:rsidR="00AB2D96">
        <w:t xml:space="preserve"> </w:t>
      </w:r>
      <w:r w:rsidR="00D96517">
        <w:t xml:space="preserve">las personas con hepatitis pueden tener un mejor soporte social </w:t>
      </w:r>
      <w:r w:rsidR="009F1FE3">
        <w:t>y esto r</w:t>
      </w:r>
      <w:r w:rsidR="00D96517">
        <w:t xml:space="preserve">edunda en una mejor percepción de la salud física, mental y el bienestar, debido a que este componente </w:t>
      </w:r>
      <w:r w:rsidR="007F385D">
        <w:t xml:space="preserve">es </w:t>
      </w:r>
      <w:r w:rsidR="00D96517">
        <w:t xml:space="preserve">esencial para los </w:t>
      </w:r>
      <w:r w:rsidR="005070A1">
        <w:t xml:space="preserve">sujetos </w:t>
      </w:r>
      <w:r w:rsidR="00D96517">
        <w:t>infectados</w:t>
      </w:r>
      <w:r w:rsidR="00083B5D">
        <w:t xml:space="preserve"> </w:t>
      </w:r>
      <w:r w:rsidR="00D96517">
        <w:t>(</w:t>
      </w:r>
      <w:r w:rsidR="00737704">
        <w:t>33</w:t>
      </w:r>
      <w:r w:rsidR="00D96517">
        <w:t>)</w:t>
      </w:r>
      <w:r w:rsidR="00E174E6">
        <w:t>.</w:t>
      </w:r>
    </w:p>
    <w:p w:rsidR="00E357EB" w:rsidRDefault="00B71A6D" w:rsidP="006A48D0">
      <w:r>
        <w:lastRenderedPageBreak/>
        <w:t>Entre las principales limitaciones del estudio se destaca que algu</w:t>
      </w:r>
      <w:r w:rsidR="00F853A9">
        <w:t>nas investigaciones no incluye</w:t>
      </w:r>
      <w:r>
        <w:t>n la edad media de los participante ni el rango, otros artículos no presentaron los puntajes de las 4 dimensiones del instrumento</w:t>
      </w:r>
      <w:r w:rsidR="006F3A5C">
        <w:t>, no fue posible relacionar la calidad de vida con las variables sociodemográficas</w:t>
      </w:r>
      <w:r>
        <w:t xml:space="preserve"> y en algunos casos no se incluyó el recuento de linfocitos CD4, una variable de gran importancia para evaluar la calidad de vida de las personas con VIH/SIDA.</w:t>
      </w:r>
    </w:p>
    <w:p w:rsidR="007D2CE4" w:rsidRDefault="007D2CE4" w:rsidP="006A48D0">
      <w:r>
        <w:t>Este estudio evidenció que las personas con lepra, Hepatitis B o C, enfermedad de Chagas e infecciones por HTLV-1, presentan puntajes estadísticamente menores en el dominio físico en comparación con las personas que viven con VIH/SIDA. Lo anterior coincide con algunos autores que sostienen que la carga de discapacidad física de algunas enfermedades desatendidas puede ser tanto o más significativas que la de las “tres grandes” tuberculosis, malaria y VIH/SIDA (32).</w:t>
      </w:r>
    </w:p>
    <w:p w:rsidR="007D2CE4" w:rsidRDefault="00FE7826" w:rsidP="006A48D0">
      <w:r>
        <w:t>E</w:t>
      </w:r>
      <w:r w:rsidR="0042690A" w:rsidRPr="00B618C8">
        <w:t xml:space="preserve">l estudio </w:t>
      </w:r>
      <w:r w:rsidR="007D2CE4">
        <w:t xml:space="preserve">también </w:t>
      </w:r>
      <w:r w:rsidR="00472C54">
        <w:t xml:space="preserve">demostró </w:t>
      </w:r>
      <w:r w:rsidR="007D2CE4">
        <w:t xml:space="preserve">las </w:t>
      </w:r>
      <w:r w:rsidR="003A677D">
        <w:t xml:space="preserve">ventajas </w:t>
      </w:r>
      <w:r w:rsidR="007D2CE4">
        <w:t>de realizar una revisión sistemática con meta-análisis ya que este abordaje permite combinar los resultados de múltiples estudios, resumir las publicaciones sobre el tema, unificar resultados contradictorios y aumentar el tamaño de la muestra a un nivel difícil de alcanzar con otro abordaje.</w:t>
      </w:r>
    </w:p>
    <w:p w:rsidR="00E357EB" w:rsidRDefault="007D2CE4" w:rsidP="006A48D0">
      <w:r>
        <w:t xml:space="preserve">Finalmente, </w:t>
      </w:r>
      <w:r w:rsidR="00472C54">
        <w:t>se expuso</w:t>
      </w:r>
      <w:r w:rsidR="0042690A" w:rsidRPr="00B618C8">
        <w:t xml:space="preserve"> </w:t>
      </w:r>
      <w:r w:rsidR="00C57B9D" w:rsidRPr="00B618C8">
        <w:t xml:space="preserve">la pertinencia de evaluar la </w:t>
      </w:r>
      <w:r w:rsidR="003A677D">
        <w:t xml:space="preserve">CVRS </w:t>
      </w:r>
      <w:r w:rsidR="00C57B9D" w:rsidRPr="00B618C8">
        <w:t xml:space="preserve">con </w:t>
      </w:r>
      <w:r w:rsidR="0042690A" w:rsidRPr="00B618C8">
        <w:t xml:space="preserve">el WHOQOLBREF </w:t>
      </w:r>
      <w:r w:rsidR="00B54474" w:rsidRPr="00B618C8">
        <w:t xml:space="preserve">ya que </w:t>
      </w:r>
      <w:r w:rsidR="006634B0" w:rsidRPr="00B618C8">
        <w:t xml:space="preserve">este instrumento </w:t>
      </w:r>
      <w:r w:rsidR="00B54474" w:rsidRPr="00B618C8">
        <w:t>permite</w:t>
      </w:r>
      <w:r w:rsidR="00F82198" w:rsidRPr="00B618C8">
        <w:t xml:space="preserve"> realizar comparaciones interculturales y en personas con diferentes padecimientos</w:t>
      </w:r>
      <w:r w:rsidR="003A677D">
        <w:t>;</w:t>
      </w:r>
      <w:r w:rsidR="00F82198" w:rsidRPr="00B618C8">
        <w:t xml:space="preserve"> n</w:t>
      </w:r>
      <w:r w:rsidR="0042690A" w:rsidRPr="00B618C8">
        <w:t>o</w:t>
      </w:r>
      <w:r w:rsidR="006F3A5C" w:rsidRPr="00B618C8">
        <w:t xml:space="preserve"> obstante,</w:t>
      </w:r>
      <w:r w:rsidR="00A27EFF" w:rsidRPr="00B618C8">
        <w:t xml:space="preserve"> </w:t>
      </w:r>
      <w:r w:rsidR="008E4466">
        <w:t>é</w:t>
      </w:r>
      <w:r w:rsidR="00A27EFF" w:rsidRPr="00B618C8">
        <w:t>ste tiene el riesgo de ser poco sensible a cambios clínicos</w:t>
      </w:r>
      <w:r w:rsidR="003A677D">
        <w:t xml:space="preserve">, por ello </w:t>
      </w:r>
      <w:r w:rsidR="006634B0" w:rsidRPr="00B618C8">
        <w:t>sugiere</w:t>
      </w:r>
      <w:r w:rsidR="0042690A" w:rsidRPr="00B618C8">
        <w:t xml:space="preserve"> </w:t>
      </w:r>
      <w:r w:rsidR="006634B0" w:rsidRPr="00B618C8">
        <w:t xml:space="preserve">realizar </w:t>
      </w:r>
      <w:r w:rsidR="0042690A" w:rsidRPr="00B618C8">
        <w:t>investigaciones</w:t>
      </w:r>
      <w:r w:rsidR="0060090D" w:rsidRPr="00B618C8">
        <w:t xml:space="preserve"> de </w:t>
      </w:r>
      <w:r w:rsidR="003A677D">
        <w:t xml:space="preserve">CVRS </w:t>
      </w:r>
      <w:r w:rsidR="0042690A" w:rsidRPr="00B618C8">
        <w:t>en personas con enf</w:t>
      </w:r>
      <w:r w:rsidR="0060090D" w:rsidRPr="00B618C8">
        <w:t>ermedades infecciones, articulando</w:t>
      </w:r>
      <w:r w:rsidR="0042690A" w:rsidRPr="00B618C8">
        <w:t xml:space="preserve"> un instrumento </w:t>
      </w:r>
      <w:r w:rsidR="00B71A6D" w:rsidRPr="00B618C8">
        <w:t>ge</w:t>
      </w:r>
      <w:r w:rsidR="00A27EFF" w:rsidRPr="00B618C8">
        <w:t>nérico con uno específico</w:t>
      </w:r>
      <w:r w:rsidR="006634B0" w:rsidRPr="00B618C8">
        <w:t>, ya que esto</w:t>
      </w:r>
      <w:r w:rsidR="0060090D" w:rsidRPr="00B618C8">
        <w:t xml:space="preserve"> </w:t>
      </w:r>
      <w:r w:rsidR="0060090D" w:rsidRPr="00B618C8">
        <w:rPr>
          <w:color w:val="231F20"/>
        </w:rPr>
        <w:t>facilita</w:t>
      </w:r>
      <w:r w:rsidR="00A27EFF" w:rsidRPr="00B618C8">
        <w:rPr>
          <w:color w:val="231F20"/>
        </w:rPr>
        <w:t xml:space="preserve"> la identificación </w:t>
      </w:r>
      <w:r w:rsidR="006634B0" w:rsidRPr="00B618C8">
        <w:rPr>
          <w:color w:val="231F20"/>
        </w:rPr>
        <w:t>de problemas funcionales y</w:t>
      </w:r>
      <w:r w:rsidR="00A27EFF" w:rsidRPr="00B618C8">
        <w:rPr>
          <w:color w:val="231F20"/>
        </w:rPr>
        <w:t xml:space="preserve"> emocionales no detectados en la eval</w:t>
      </w:r>
      <w:r w:rsidR="0060090D" w:rsidRPr="00B618C8">
        <w:rPr>
          <w:color w:val="231F20"/>
        </w:rPr>
        <w:t>uación clínica convencional, mejora</w:t>
      </w:r>
      <w:r w:rsidR="00A27EFF" w:rsidRPr="00B618C8">
        <w:rPr>
          <w:color w:val="231F20"/>
        </w:rPr>
        <w:t xml:space="preserve"> la moni</w:t>
      </w:r>
      <w:r w:rsidR="006634B0" w:rsidRPr="00B618C8">
        <w:rPr>
          <w:color w:val="231F20"/>
        </w:rPr>
        <w:t>torización de los pacientes</w:t>
      </w:r>
      <w:r w:rsidR="00A27EFF" w:rsidRPr="00B618C8">
        <w:rPr>
          <w:color w:val="231F20"/>
        </w:rPr>
        <w:t>, la comunicación médico-paciente</w:t>
      </w:r>
      <w:r w:rsidR="006634B0" w:rsidRPr="00B618C8">
        <w:rPr>
          <w:color w:val="231F20"/>
        </w:rPr>
        <w:t>,</w:t>
      </w:r>
      <w:r w:rsidR="00A27EFF" w:rsidRPr="00B618C8">
        <w:rPr>
          <w:color w:val="231F20"/>
        </w:rPr>
        <w:t xml:space="preserve"> la valoración de </w:t>
      </w:r>
      <w:r w:rsidR="00A27EFF" w:rsidRPr="00B618C8">
        <w:rPr>
          <w:color w:val="231F20"/>
        </w:rPr>
        <w:lastRenderedPageBreak/>
        <w:t>las necesidades de recursos de atención</w:t>
      </w:r>
      <w:r w:rsidR="003A677D">
        <w:rPr>
          <w:color w:val="231F20"/>
        </w:rPr>
        <w:t>,</w:t>
      </w:r>
      <w:r w:rsidR="00A27EFF" w:rsidRPr="00B618C8">
        <w:rPr>
          <w:color w:val="231F20"/>
        </w:rPr>
        <w:t xml:space="preserve"> </w:t>
      </w:r>
      <w:r w:rsidR="003A677D">
        <w:rPr>
          <w:color w:val="231F20"/>
        </w:rPr>
        <w:t>el</w:t>
      </w:r>
      <w:r w:rsidR="003A677D" w:rsidRPr="00B618C8">
        <w:rPr>
          <w:color w:val="231F20"/>
        </w:rPr>
        <w:t xml:space="preserve"> inici</w:t>
      </w:r>
      <w:r w:rsidR="003A677D">
        <w:rPr>
          <w:color w:val="231F20"/>
        </w:rPr>
        <w:t>o</w:t>
      </w:r>
      <w:r w:rsidR="003A677D" w:rsidRPr="00B618C8">
        <w:rPr>
          <w:color w:val="231F20"/>
        </w:rPr>
        <w:t xml:space="preserve"> de tratamientos</w:t>
      </w:r>
      <w:r w:rsidR="003A677D" w:rsidRPr="00B618C8">
        <w:rPr>
          <w:color w:val="231F20"/>
        </w:rPr>
        <w:t xml:space="preserve"> </w:t>
      </w:r>
      <w:r w:rsidR="003A677D">
        <w:rPr>
          <w:color w:val="231F20"/>
        </w:rPr>
        <w:t xml:space="preserve">y </w:t>
      </w:r>
      <w:r w:rsidR="00A27EFF" w:rsidRPr="00B618C8">
        <w:rPr>
          <w:color w:val="231F20"/>
        </w:rPr>
        <w:t xml:space="preserve">la toma de decisiones </w:t>
      </w:r>
      <w:r w:rsidR="003A677D">
        <w:rPr>
          <w:color w:val="231F20"/>
        </w:rPr>
        <w:t>clínicas y salud pública</w:t>
      </w:r>
      <w:r w:rsidR="00A27EFF" w:rsidRPr="00B618C8">
        <w:t xml:space="preserve"> </w:t>
      </w:r>
      <w:r w:rsidR="00BB1A08" w:rsidRPr="00DB3820">
        <w:t>(</w:t>
      </w:r>
      <w:r w:rsidR="00737704" w:rsidRPr="00DB3820">
        <w:t>34-36</w:t>
      </w:r>
      <w:r w:rsidR="00BB1A08" w:rsidRPr="00DB3820">
        <w:t>)</w:t>
      </w:r>
      <w:r w:rsidR="00ED16EE">
        <w:t>.</w:t>
      </w:r>
    </w:p>
    <w:p w:rsidR="006353C0" w:rsidRDefault="006353C0" w:rsidP="006A48D0"/>
    <w:p w:rsidR="008E4466" w:rsidRDefault="008E4466" w:rsidP="006A48D0">
      <w:r>
        <w:br w:type="page"/>
      </w:r>
    </w:p>
    <w:p w:rsidR="006D0572" w:rsidRPr="00472C54" w:rsidRDefault="006D0572" w:rsidP="006A48D0">
      <w:pPr>
        <w:rPr>
          <w:b/>
        </w:rPr>
      </w:pPr>
      <w:r w:rsidRPr="00472C54">
        <w:rPr>
          <w:b/>
        </w:rPr>
        <w:lastRenderedPageBreak/>
        <w:t xml:space="preserve">REFERENCIAS. </w:t>
      </w:r>
    </w:p>
    <w:p w:rsidR="00E357EB" w:rsidRDefault="003C1A7D" w:rsidP="006A48D0">
      <w:r w:rsidRPr="004513E8">
        <w:t>1</w:t>
      </w:r>
      <w:r>
        <w:rPr>
          <w:b/>
        </w:rPr>
        <w:t xml:space="preserve">. </w:t>
      </w:r>
      <w:r w:rsidR="005C4BC1" w:rsidRPr="005C4BC1">
        <w:t xml:space="preserve">Organización mundial de la salud. Informe sobre la situación mundial de las enfermedades no transmisibles 2010. Resumen de orientación. Organización mundial de la salud; </w:t>
      </w:r>
      <w:r w:rsidR="005C4BC1">
        <w:t xml:space="preserve">2011. </w:t>
      </w:r>
      <w:r w:rsidR="005C4BC1" w:rsidRPr="004B430A">
        <w:rPr>
          <w:bCs/>
        </w:rPr>
        <w:t>[Internet]</w:t>
      </w:r>
      <w:r w:rsidR="005C4BC1">
        <w:rPr>
          <w:bCs/>
        </w:rPr>
        <w:t>. 201</w:t>
      </w:r>
      <w:r w:rsidR="00AF76DF">
        <w:rPr>
          <w:bCs/>
        </w:rPr>
        <w:t>3.</w:t>
      </w:r>
      <w:r w:rsidR="00AF76DF" w:rsidRPr="00AF76DF">
        <w:rPr>
          <w:bCs/>
        </w:rPr>
        <w:t xml:space="preserve"> </w:t>
      </w:r>
      <w:r w:rsidR="00AF76DF">
        <w:rPr>
          <w:bCs/>
        </w:rPr>
        <w:t>[Citado 11 de febrero de 2013</w:t>
      </w:r>
      <w:r w:rsidR="00AF76DF" w:rsidRPr="004B430A">
        <w:rPr>
          <w:bCs/>
        </w:rPr>
        <w:t>]</w:t>
      </w:r>
      <w:r w:rsidR="00AF76DF">
        <w:rPr>
          <w:bCs/>
        </w:rPr>
        <w:t xml:space="preserve">. Disponible en: </w:t>
      </w:r>
      <w:r w:rsidR="00AF76DF" w:rsidRPr="00AF76DF">
        <w:rPr>
          <w:bCs/>
        </w:rPr>
        <w:t>http://www.who.int/nmh/publications/ncd_report_summary_es.pdf</w:t>
      </w:r>
      <w:r w:rsidR="00AF76DF" w:rsidRPr="00AF76DF">
        <w:t xml:space="preserve"> </w:t>
      </w:r>
    </w:p>
    <w:p w:rsidR="00E357EB" w:rsidRDefault="003C1A7D" w:rsidP="006A48D0">
      <w:pPr>
        <w:rPr>
          <w:bCs/>
        </w:rPr>
      </w:pPr>
      <w:r w:rsidRPr="00F7147F">
        <w:rPr>
          <w:lang w:val="en-US"/>
        </w:rPr>
        <w:t>2.</w:t>
      </w:r>
      <w:r w:rsidRPr="00F7147F">
        <w:rPr>
          <w:b/>
          <w:lang w:val="en-US"/>
        </w:rPr>
        <w:t xml:space="preserve"> </w:t>
      </w:r>
      <w:r w:rsidR="00AF76DF" w:rsidRPr="00F7147F">
        <w:rPr>
          <w:lang w:val="en-US"/>
        </w:rPr>
        <w:t xml:space="preserve">World health organization. </w:t>
      </w:r>
      <w:proofErr w:type="gramStart"/>
      <w:r w:rsidR="00AF76DF" w:rsidRPr="00B04F95">
        <w:rPr>
          <w:lang w:val="en-US"/>
        </w:rPr>
        <w:t>Working to overcome the global impact of neglected tropical diseases.</w:t>
      </w:r>
      <w:proofErr w:type="gramEnd"/>
      <w:r w:rsidR="00AF76DF" w:rsidRPr="00B04F95">
        <w:rPr>
          <w:lang w:val="en-US"/>
        </w:rPr>
        <w:t xml:space="preserve"> First WHO report on neglected tropical </w:t>
      </w:r>
      <w:proofErr w:type="gramStart"/>
      <w:r w:rsidR="00AF76DF" w:rsidRPr="00B04F95">
        <w:rPr>
          <w:lang w:val="en-US"/>
        </w:rPr>
        <w:t>diseases.</w:t>
      </w:r>
      <w:proofErr w:type="gramEnd"/>
      <w:r w:rsidR="00AF76DF" w:rsidRPr="00B04F95">
        <w:rPr>
          <w:lang w:val="en-US"/>
        </w:rPr>
        <w:t xml:space="preserve"> </w:t>
      </w:r>
      <w:proofErr w:type="gramStart"/>
      <w:r w:rsidR="00AF76DF" w:rsidRPr="00F7147F">
        <w:rPr>
          <w:lang w:val="en-US"/>
        </w:rPr>
        <w:t>World health organization; 2010.</w:t>
      </w:r>
      <w:proofErr w:type="gramEnd"/>
      <w:r w:rsidR="00AF76DF" w:rsidRPr="00F7147F">
        <w:rPr>
          <w:lang w:val="en-US"/>
        </w:rPr>
        <w:t xml:space="preserve"> </w:t>
      </w:r>
      <w:r w:rsidR="00AF76DF" w:rsidRPr="00B04F95">
        <w:rPr>
          <w:bCs/>
        </w:rPr>
        <w:t>[Internet]. 2013. [Citado 11 de febrero de 2013]. Disponible en: http://www.who.int/neglected_diseases/2010report/en/index.html</w:t>
      </w:r>
      <w:r w:rsidR="00AF76DF" w:rsidRPr="00AF76DF">
        <w:rPr>
          <w:bCs/>
        </w:rPr>
        <w:t xml:space="preserve"> </w:t>
      </w:r>
    </w:p>
    <w:p w:rsidR="00E357EB" w:rsidRDefault="003C1A7D" w:rsidP="006A48D0">
      <w:r>
        <w:rPr>
          <w:lang w:val="en-US"/>
        </w:rPr>
        <w:t xml:space="preserve">3. </w:t>
      </w:r>
      <w:proofErr w:type="spellStart"/>
      <w:r w:rsidRPr="003C1A7D">
        <w:rPr>
          <w:lang w:val="en-US"/>
        </w:rPr>
        <w:t>Hotez</w:t>
      </w:r>
      <w:proofErr w:type="spellEnd"/>
      <w:r w:rsidRPr="003C1A7D">
        <w:rPr>
          <w:lang w:val="en-US"/>
        </w:rPr>
        <w:t xml:space="preserve"> P, </w:t>
      </w:r>
      <w:proofErr w:type="spellStart"/>
      <w:r w:rsidRPr="003C1A7D">
        <w:rPr>
          <w:lang w:val="en-US"/>
        </w:rPr>
        <w:t>Pecoul</w:t>
      </w:r>
      <w:proofErr w:type="spellEnd"/>
      <w:r w:rsidRPr="003C1A7D">
        <w:rPr>
          <w:lang w:val="en-US"/>
        </w:rPr>
        <w:t xml:space="preserve"> B. “Manifesto” for advancing the control and elimination of neglected tropical diseases. </w:t>
      </w:r>
      <w:proofErr w:type="spellStart"/>
      <w:r w:rsidRPr="003C1A7D">
        <w:t>Plos</w:t>
      </w:r>
      <w:proofErr w:type="spellEnd"/>
      <w:r w:rsidRPr="003C1A7D">
        <w:t xml:space="preserve"> </w:t>
      </w:r>
      <w:proofErr w:type="spellStart"/>
      <w:r w:rsidRPr="003C1A7D">
        <w:t>Negl</w:t>
      </w:r>
      <w:proofErr w:type="spellEnd"/>
      <w:r w:rsidRPr="003C1A7D">
        <w:t xml:space="preserve"> </w:t>
      </w:r>
      <w:proofErr w:type="spellStart"/>
      <w:r w:rsidRPr="003C1A7D">
        <w:t>Trop</w:t>
      </w:r>
      <w:proofErr w:type="spellEnd"/>
      <w:r w:rsidRPr="003C1A7D">
        <w:t xml:space="preserve"> </w:t>
      </w:r>
      <w:proofErr w:type="spellStart"/>
      <w:r w:rsidRPr="003C1A7D">
        <w:t>Dis</w:t>
      </w:r>
      <w:proofErr w:type="spellEnd"/>
      <w:r w:rsidRPr="003C1A7D">
        <w:t>.</w:t>
      </w:r>
      <w:r>
        <w:t xml:space="preserve"> 2010;</w:t>
      </w:r>
      <w:r w:rsidRPr="003C1A7D">
        <w:t xml:space="preserve"> 4(5)</w:t>
      </w:r>
      <w:r>
        <w:t xml:space="preserve">: </w:t>
      </w:r>
      <w:r w:rsidR="00472C54">
        <w:t>1-7</w:t>
      </w:r>
      <w:r>
        <w:t>.</w:t>
      </w:r>
    </w:p>
    <w:p w:rsidR="00E357EB" w:rsidRDefault="003C1A7D" w:rsidP="006A48D0">
      <w:r>
        <w:t xml:space="preserve">4. </w:t>
      </w:r>
      <w:r w:rsidRPr="0066080D">
        <w:t>Grupo de la OMS sobre la calidad de vida. La gente y la salud. ¿Qué calidad de vida? Revista internacional de desarrollo sanitario.</w:t>
      </w:r>
      <w:r>
        <w:t xml:space="preserve"> 1996; 17(4)</w:t>
      </w:r>
      <w:r w:rsidR="00472C54">
        <w:t>: 385-7</w:t>
      </w:r>
    </w:p>
    <w:p w:rsidR="003C1A7D" w:rsidRDefault="003C1A7D" w:rsidP="006A48D0">
      <w:r>
        <w:t xml:space="preserve">5. </w:t>
      </w:r>
      <w:proofErr w:type="spellStart"/>
      <w:r w:rsidRPr="0066080D">
        <w:t>Thivierge</w:t>
      </w:r>
      <w:proofErr w:type="spellEnd"/>
      <w:r w:rsidRPr="0066080D">
        <w:t xml:space="preserve"> G. Calidad de vida y opciones existenciales. La calidad de vida de la persona: desafío actual del nuevo milenio: Federación internacional de las universidades católicas. 1992: 33-55</w:t>
      </w:r>
      <w:r>
        <w:t>.</w:t>
      </w:r>
    </w:p>
    <w:p w:rsidR="00E357EB" w:rsidRDefault="003C1A7D" w:rsidP="006A48D0">
      <w:r>
        <w:t xml:space="preserve">6. </w:t>
      </w:r>
      <w:r w:rsidR="00415545">
        <w:t xml:space="preserve">Cardona JA, Higuita LF. Calidad de vida en personas que viven con VIH/SIDA pertenecientes a una organización no gubernamental. Medellín (Colombia). 2009. Salud </w:t>
      </w:r>
      <w:proofErr w:type="spellStart"/>
      <w:r w:rsidR="00415545">
        <w:t>Uninorte</w:t>
      </w:r>
      <w:proofErr w:type="spellEnd"/>
      <w:r w:rsidR="00415545">
        <w:t>. 2011; 27 (2): 236-246</w:t>
      </w:r>
    </w:p>
    <w:p w:rsidR="00E357EB" w:rsidRDefault="00437475" w:rsidP="006A48D0">
      <w:pPr>
        <w:rPr>
          <w:lang w:val="en-US"/>
        </w:rPr>
      </w:pPr>
      <w:r w:rsidRPr="00940CC4">
        <w:rPr>
          <w:lang w:val="en-US"/>
        </w:rPr>
        <w:t xml:space="preserve">7. </w:t>
      </w:r>
      <w:proofErr w:type="spellStart"/>
      <w:r w:rsidRPr="00940CC4">
        <w:rPr>
          <w:lang w:val="en-US"/>
        </w:rPr>
        <w:t>Velarde</w:t>
      </w:r>
      <w:proofErr w:type="spellEnd"/>
      <w:r w:rsidRPr="00940CC4">
        <w:rPr>
          <w:lang w:val="en-US"/>
        </w:rPr>
        <w:t xml:space="preserve"> E, Avila C. </w:t>
      </w:r>
      <w:proofErr w:type="spellStart"/>
      <w:r w:rsidRPr="00940CC4">
        <w:rPr>
          <w:lang w:val="en-US"/>
        </w:rPr>
        <w:t>Consideraciones</w:t>
      </w:r>
      <w:proofErr w:type="spellEnd"/>
      <w:r w:rsidRPr="00940CC4">
        <w:rPr>
          <w:lang w:val="en-US"/>
        </w:rPr>
        <w:t xml:space="preserve"> </w:t>
      </w:r>
      <w:proofErr w:type="spellStart"/>
      <w:r w:rsidRPr="00940CC4">
        <w:rPr>
          <w:lang w:val="en-US"/>
        </w:rPr>
        <w:t>metodológicas</w:t>
      </w:r>
      <w:proofErr w:type="spellEnd"/>
      <w:r w:rsidRPr="00940CC4">
        <w:rPr>
          <w:lang w:val="en-US"/>
        </w:rPr>
        <w:t xml:space="preserve"> </w:t>
      </w:r>
      <w:proofErr w:type="spellStart"/>
      <w:r w:rsidRPr="00940CC4">
        <w:rPr>
          <w:lang w:val="en-US"/>
        </w:rPr>
        <w:t>para</w:t>
      </w:r>
      <w:proofErr w:type="spellEnd"/>
      <w:r w:rsidRPr="00940CC4">
        <w:rPr>
          <w:lang w:val="en-US"/>
        </w:rPr>
        <w:t xml:space="preserve"> </w:t>
      </w:r>
      <w:proofErr w:type="spellStart"/>
      <w:r w:rsidRPr="00940CC4">
        <w:rPr>
          <w:lang w:val="en-US"/>
        </w:rPr>
        <w:t>evaluar</w:t>
      </w:r>
      <w:proofErr w:type="spellEnd"/>
      <w:r w:rsidRPr="00940CC4">
        <w:rPr>
          <w:lang w:val="en-US"/>
        </w:rPr>
        <w:t xml:space="preserve"> la </w:t>
      </w:r>
      <w:proofErr w:type="spellStart"/>
      <w:r w:rsidRPr="00940CC4">
        <w:rPr>
          <w:lang w:val="en-US"/>
        </w:rPr>
        <w:t>calidad</w:t>
      </w:r>
      <w:proofErr w:type="spellEnd"/>
      <w:r w:rsidRPr="00940CC4">
        <w:rPr>
          <w:lang w:val="en-US"/>
        </w:rPr>
        <w:t xml:space="preserve"> de </w:t>
      </w:r>
      <w:proofErr w:type="spellStart"/>
      <w:r w:rsidRPr="00940CC4">
        <w:rPr>
          <w:lang w:val="en-US"/>
        </w:rPr>
        <w:t>vida</w:t>
      </w:r>
      <w:proofErr w:type="spellEnd"/>
      <w:r w:rsidRPr="00940CC4">
        <w:rPr>
          <w:lang w:val="en-US"/>
        </w:rPr>
        <w:t xml:space="preserve">. </w:t>
      </w:r>
      <w:proofErr w:type="spellStart"/>
      <w:proofErr w:type="gramStart"/>
      <w:r w:rsidRPr="004A1899">
        <w:rPr>
          <w:lang w:val="en-US"/>
        </w:rPr>
        <w:t>Salud</w:t>
      </w:r>
      <w:proofErr w:type="spellEnd"/>
      <w:r w:rsidRPr="004A1899">
        <w:rPr>
          <w:lang w:val="en-US"/>
        </w:rPr>
        <w:t xml:space="preserve"> </w:t>
      </w:r>
      <w:proofErr w:type="spellStart"/>
      <w:r w:rsidRPr="004A1899">
        <w:rPr>
          <w:lang w:val="en-US"/>
        </w:rPr>
        <w:t>Pública</w:t>
      </w:r>
      <w:proofErr w:type="spellEnd"/>
      <w:r w:rsidRPr="004A1899">
        <w:rPr>
          <w:lang w:val="en-US"/>
        </w:rPr>
        <w:t xml:space="preserve"> Mex. 2002; 44: 448-463.</w:t>
      </w:r>
      <w:proofErr w:type="gramEnd"/>
    </w:p>
    <w:p w:rsidR="00E357EB" w:rsidRDefault="004C0CF3" w:rsidP="006A48D0">
      <w:pPr>
        <w:rPr>
          <w:lang w:val="en-US"/>
        </w:rPr>
      </w:pPr>
      <w:r>
        <w:rPr>
          <w:lang w:val="en-US"/>
        </w:rPr>
        <w:t xml:space="preserve">8. </w:t>
      </w:r>
      <w:r w:rsidRPr="004A1899">
        <w:rPr>
          <w:lang w:val="en-US"/>
        </w:rPr>
        <w:t xml:space="preserve">Chen T. Li L, </w:t>
      </w:r>
      <w:proofErr w:type="spellStart"/>
      <w:r w:rsidRPr="004A1899">
        <w:rPr>
          <w:lang w:val="en-US"/>
        </w:rPr>
        <w:t>Kochen</w:t>
      </w:r>
      <w:proofErr w:type="spellEnd"/>
      <w:r w:rsidRPr="004A1899">
        <w:rPr>
          <w:lang w:val="en-US"/>
        </w:rPr>
        <w:t xml:space="preserve"> M. </w:t>
      </w:r>
      <w:r w:rsidRPr="0066080D">
        <w:rPr>
          <w:lang w:val="en-US"/>
        </w:rPr>
        <w:t xml:space="preserve">A systematic review: How to choose appropriate health-related quality of life (HRQOL) measures in routine general practice? </w:t>
      </w:r>
      <w:proofErr w:type="gramStart"/>
      <w:r w:rsidRPr="004A1899">
        <w:rPr>
          <w:lang w:val="en-US"/>
        </w:rPr>
        <w:t>Journal of Zhejiang university science.</w:t>
      </w:r>
      <w:proofErr w:type="gramEnd"/>
      <w:r w:rsidRPr="004A1899">
        <w:rPr>
          <w:lang w:val="en-US"/>
        </w:rPr>
        <w:t xml:space="preserve"> 2005; 6B (9): 936-940</w:t>
      </w:r>
      <w:r>
        <w:rPr>
          <w:lang w:val="en-US"/>
        </w:rPr>
        <w:t>.</w:t>
      </w:r>
    </w:p>
    <w:p w:rsidR="00E357EB" w:rsidRDefault="00B05EA6" w:rsidP="006A48D0">
      <w:pPr>
        <w:rPr>
          <w:rFonts w:eastAsia="Times New Roman"/>
          <w:lang w:val="en-US"/>
        </w:rPr>
      </w:pPr>
      <w:r>
        <w:rPr>
          <w:lang w:val="en-US"/>
        </w:rPr>
        <w:lastRenderedPageBreak/>
        <w:t xml:space="preserve">9. </w:t>
      </w:r>
      <w:r w:rsidRPr="0066080D">
        <w:rPr>
          <w:rFonts w:eastAsia="Times New Roman"/>
          <w:lang w:val="en-US"/>
        </w:rPr>
        <w:t xml:space="preserve">World Health Organization. WHOQOL-BREF Introduction, administration, scoring and generic version of the assessment. </w:t>
      </w:r>
      <w:proofErr w:type="gramStart"/>
      <w:r w:rsidRPr="0066080D">
        <w:rPr>
          <w:rFonts w:eastAsia="Times New Roman"/>
          <w:lang w:val="en-US"/>
        </w:rPr>
        <w:t>World Health Organization.</w:t>
      </w:r>
      <w:proofErr w:type="gramEnd"/>
      <w:r w:rsidRPr="0066080D">
        <w:rPr>
          <w:rFonts w:eastAsia="Times New Roman"/>
          <w:lang w:val="en-US"/>
        </w:rPr>
        <w:t xml:space="preserve"> Geneva, Italia. 1996.</w:t>
      </w:r>
    </w:p>
    <w:p w:rsidR="00E357EB" w:rsidRDefault="003D7F1E" w:rsidP="006A48D0">
      <w:r w:rsidRPr="003D7F1E">
        <w:rPr>
          <w:lang w:val="en-US"/>
        </w:rPr>
        <w:t xml:space="preserve">10. Higgins JPT, Green S. </w:t>
      </w:r>
      <w:r w:rsidRPr="003D7F1E">
        <w:rPr>
          <w:iCs/>
          <w:lang w:val="en-US"/>
        </w:rPr>
        <w:t>Cochrane Handbook for Systematic Reviews of Interventions</w:t>
      </w:r>
      <w:r>
        <w:rPr>
          <w:i/>
          <w:iCs/>
          <w:lang w:val="en-US"/>
        </w:rPr>
        <w:t xml:space="preserve"> </w:t>
      </w:r>
      <w:r>
        <w:rPr>
          <w:lang w:val="en-US"/>
        </w:rPr>
        <w:t>Version 5.1.0</w:t>
      </w:r>
      <w:r w:rsidRPr="003D7F1E">
        <w:rPr>
          <w:lang w:val="en-US"/>
        </w:rPr>
        <w:t xml:space="preserve">. </w:t>
      </w:r>
      <w:proofErr w:type="spellStart"/>
      <w:r w:rsidRPr="003D7F1E">
        <w:t>The</w:t>
      </w:r>
      <w:proofErr w:type="spellEnd"/>
      <w:r w:rsidRPr="003D7F1E">
        <w:t xml:space="preserve"> Cochrane </w:t>
      </w:r>
      <w:proofErr w:type="spellStart"/>
      <w:r w:rsidRPr="003D7F1E">
        <w:t>Collaboration</w:t>
      </w:r>
      <w:proofErr w:type="spellEnd"/>
      <w:r w:rsidRPr="003D7F1E">
        <w:t xml:space="preserve">, 2011. </w:t>
      </w:r>
      <w:r w:rsidRPr="00B04F95">
        <w:rPr>
          <w:bCs/>
        </w:rPr>
        <w:t>[Internet]</w:t>
      </w:r>
      <w:r>
        <w:rPr>
          <w:bCs/>
        </w:rPr>
        <w:t>. 2013 [Citado 10</w:t>
      </w:r>
      <w:r w:rsidRPr="00B04F95">
        <w:rPr>
          <w:bCs/>
        </w:rPr>
        <w:t xml:space="preserve"> de </w:t>
      </w:r>
      <w:r>
        <w:rPr>
          <w:bCs/>
        </w:rPr>
        <w:t>enero</w:t>
      </w:r>
      <w:r w:rsidRPr="00B04F95">
        <w:rPr>
          <w:bCs/>
        </w:rPr>
        <w:t xml:space="preserve"> de 2013]</w:t>
      </w:r>
      <w:r>
        <w:rPr>
          <w:bCs/>
        </w:rPr>
        <w:t xml:space="preserve">. </w:t>
      </w:r>
      <w:r w:rsidRPr="00DB3820">
        <w:rPr>
          <w:bCs/>
        </w:rPr>
        <w:t xml:space="preserve">Disponible en: </w:t>
      </w:r>
      <w:r w:rsidR="00FA2957" w:rsidRPr="00DB3820">
        <w:t>www.cochrane-handbook.org</w:t>
      </w:r>
      <w:r w:rsidRPr="00DB3820">
        <w:t>.</w:t>
      </w:r>
    </w:p>
    <w:p w:rsidR="00FA2957" w:rsidRPr="00940CC4" w:rsidRDefault="00FA2957" w:rsidP="006A48D0">
      <w:pPr>
        <w:rPr>
          <w:lang w:val="pt-BR"/>
        </w:rPr>
      </w:pPr>
      <w:r w:rsidRPr="00FA2957">
        <w:rPr>
          <w:lang w:val="en-US"/>
        </w:rPr>
        <w:t xml:space="preserve">11. </w:t>
      </w:r>
      <w:proofErr w:type="spellStart"/>
      <w:r w:rsidRPr="00FA2957">
        <w:rPr>
          <w:lang w:val="en-US"/>
        </w:rPr>
        <w:t>Morandi</w:t>
      </w:r>
      <w:proofErr w:type="spellEnd"/>
      <w:r w:rsidRPr="00FA2957">
        <w:rPr>
          <w:lang w:val="en-US"/>
        </w:rPr>
        <w:t xml:space="preserve"> E, Junior I, Lopes F. Quality of life of people living with HIV/AIDS in </w:t>
      </w:r>
      <w:proofErr w:type="spellStart"/>
      <w:proofErr w:type="gramStart"/>
      <w:r w:rsidRPr="00FA2957">
        <w:rPr>
          <w:lang w:val="en-US"/>
        </w:rPr>
        <w:t>sao</w:t>
      </w:r>
      <w:proofErr w:type="spellEnd"/>
      <w:r w:rsidRPr="00FA2957">
        <w:rPr>
          <w:lang w:val="en-US"/>
        </w:rPr>
        <w:t xml:space="preserve"> </w:t>
      </w:r>
      <w:proofErr w:type="spellStart"/>
      <w:r w:rsidRPr="00FA2957">
        <w:rPr>
          <w:lang w:val="en-US"/>
        </w:rPr>
        <w:t>paulo</w:t>
      </w:r>
      <w:proofErr w:type="spellEnd"/>
      <w:proofErr w:type="gramEnd"/>
      <w:r w:rsidRPr="00FA2957">
        <w:rPr>
          <w:lang w:val="en-US"/>
        </w:rPr>
        <w:t>, Br</w:t>
      </w:r>
      <w:r>
        <w:rPr>
          <w:lang w:val="en-US"/>
        </w:rPr>
        <w:t xml:space="preserve">azil. </w:t>
      </w:r>
      <w:proofErr w:type="spellStart"/>
      <w:r w:rsidRPr="00940CC4">
        <w:rPr>
          <w:lang w:val="pt-BR"/>
        </w:rPr>
        <w:t>Rev</w:t>
      </w:r>
      <w:proofErr w:type="spellEnd"/>
      <w:r w:rsidRPr="00940CC4">
        <w:rPr>
          <w:lang w:val="pt-BR"/>
        </w:rPr>
        <w:t xml:space="preserve"> Saúde Pública</w:t>
      </w:r>
      <w:r w:rsidR="00F01080" w:rsidRPr="00940CC4">
        <w:rPr>
          <w:lang w:val="pt-BR"/>
        </w:rPr>
        <w:t>.</w:t>
      </w:r>
      <w:r w:rsidRPr="00940CC4">
        <w:rPr>
          <w:lang w:val="pt-BR"/>
        </w:rPr>
        <w:t xml:space="preserve"> 2007; 41(Supl.2)</w:t>
      </w:r>
      <w:r w:rsidR="002549DA" w:rsidRPr="00940CC4">
        <w:rPr>
          <w:lang w:val="pt-BR"/>
        </w:rPr>
        <w:t>: 64-71</w:t>
      </w:r>
      <w:r w:rsidRPr="00940CC4">
        <w:rPr>
          <w:lang w:val="pt-BR"/>
        </w:rPr>
        <w:t xml:space="preserve"> </w:t>
      </w:r>
    </w:p>
    <w:p w:rsidR="00F01080" w:rsidRDefault="00F01080" w:rsidP="006A48D0">
      <w:pPr>
        <w:rPr>
          <w:lang w:val="en-US"/>
        </w:rPr>
      </w:pPr>
      <w:r w:rsidRPr="00940CC4">
        <w:rPr>
          <w:lang w:val="pt-BR"/>
        </w:rPr>
        <w:t xml:space="preserve">12. Zhang W, Wang LQ, Liu YB. </w:t>
      </w:r>
      <w:r w:rsidRPr="005F089E">
        <w:rPr>
          <w:lang w:val="en-US"/>
        </w:rPr>
        <w:t xml:space="preserve">Evaluation on quality of life and analysis on its correlation with TCM syndromes in patients of chronic hepatitis B. Chin J </w:t>
      </w:r>
      <w:proofErr w:type="spellStart"/>
      <w:r w:rsidRPr="005F089E">
        <w:rPr>
          <w:lang w:val="en-US"/>
        </w:rPr>
        <w:t>Integr</w:t>
      </w:r>
      <w:proofErr w:type="spellEnd"/>
      <w:r w:rsidRPr="005F089E">
        <w:rPr>
          <w:lang w:val="en-US"/>
        </w:rPr>
        <w:t xml:space="preserve"> Med. 2009;</w:t>
      </w:r>
      <w:r>
        <w:rPr>
          <w:lang w:val="en-US"/>
        </w:rPr>
        <w:t xml:space="preserve"> </w:t>
      </w:r>
      <w:r w:rsidRPr="005F089E">
        <w:rPr>
          <w:lang w:val="en-US"/>
        </w:rPr>
        <w:t>15(1):30-3.</w:t>
      </w:r>
    </w:p>
    <w:p w:rsidR="00B469A4" w:rsidRPr="00DB3820" w:rsidRDefault="00DC5F78" w:rsidP="006A48D0">
      <w:pPr>
        <w:widowControl w:val="0"/>
      </w:pPr>
      <w:r>
        <w:rPr>
          <w:lang w:val="en-US"/>
        </w:rPr>
        <w:t xml:space="preserve">13. </w:t>
      </w:r>
      <w:proofErr w:type="spellStart"/>
      <w:r w:rsidR="00B469A4" w:rsidRPr="005F089E">
        <w:rPr>
          <w:lang w:val="en-US"/>
        </w:rPr>
        <w:t>Tsutsumi</w:t>
      </w:r>
      <w:proofErr w:type="spellEnd"/>
      <w:r w:rsidR="00B469A4" w:rsidRPr="005F089E">
        <w:rPr>
          <w:lang w:val="en-US"/>
        </w:rPr>
        <w:t xml:space="preserve"> A, </w:t>
      </w:r>
      <w:proofErr w:type="spellStart"/>
      <w:r w:rsidR="00B469A4" w:rsidRPr="005F089E">
        <w:rPr>
          <w:lang w:val="en-US"/>
        </w:rPr>
        <w:t>Izutsu</w:t>
      </w:r>
      <w:proofErr w:type="spellEnd"/>
      <w:r w:rsidR="00B469A4" w:rsidRPr="005F089E">
        <w:rPr>
          <w:lang w:val="en-US"/>
        </w:rPr>
        <w:t xml:space="preserve"> T, Islam AM, </w:t>
      </w:r>
      <w:proofErr w:type="spellStart"/>
      <w:r w:rsidR="00B469A4" w:rsidRPr="005F089E">
        <w:rPr>
          <w:lang w:val="en-US"/>
        </w:rPr>
        <w:t>Maksuda</w:t>
      </w:r>
      <w:proofErr w:type="spellEnd"/>
      <w:r w:rsidR="00B469A4" w:rsidRPr="005F089E">
        <w:rPr>
          <w:lang w:val="en-US"/>
        </w:rPr>
        <w:t xml:space="preserve"> AN, Kato H, </w:t>
      </w:r>
      <w:proofErr w:type="spellStart"/>
      <w:r w:rsidR="00B469A4" w:rsidRPr="005F089E">
        <w:rPr>
          <w:lang w:val="en-US"/>
        </w:rPr>
        <w:t>Wakai</w:t>
      </w:r>
      <w:proofErr w:type="spellEnd"/>
      <w:r w:rsidR="00B469A4" w:rsidRPr="005F089E">
        <w:rPr>
          <w:lang w:val="en-US"/>
        </w:rPr>
        <w:t xml:space="preserve"> S. </w:t>
      </w:r>
      <w:proofErr w:type="gramStart"/>
      <w:r w:rsidR="00B469A4" w:rsidRPr="005F089E">
        <w:rPr>
          <w:lang w:val="en-US"/>
        </w:rPr>
        <w:t>The quality of life, mental health, and perceived stigma of leprosy patients in Bangladesh.</w:t>
      </w:r>
      <w:proofErr w:type="gramEnd"/>
      <w:r w:rsidR="00B469A4" w:rsidRPr="005F089E">
        <w:rPr>
          <w:lang w:val="en-US"/>
        </w:rPr>
        <w:t xml:space="preserve"> </w:t>
      </w:r>
      <w:proofErr w:type="spellStart"/>
      <w:r w:rsidR="00B469A4" w:rsidRPr="00DB3820">
        <w:t>Soc</w:t>
      </w:r>
      <w:proofErr w:type="spellEnd"/>
      <w:r w:rsidR="00B469A4" w:rsidRPr="00DB3820">
        <w:t xml:space="preserve"> </w:t>
      </w:r>
      <w:proofErr w:type="spellStart"/>
      <w:r w:rsidR="00B469A4" w:rsidRPr="00DB3820">
        <w:t>Sci</w:t>
      </w:r>
      <w:proofErr w:type="spellEnd"/>
      <w:r w:rsidR="00B469A4" w:rsidRPr="00DB3820">
        <w:t xml:space="preserve"> </w:t>
      </w:r>
      <w:proofErr w:type="spellStart"/>
      <w:r w:rsidR="00B469A4" w:rsidRPr="00DB3820">
        <w:t>Med</w:t>
      </w:r>
      <w:proofErr w:type="spellEnd"/>
      <w:r w:rsidR="00B469A4" w:rsidRPr="00DB3820">
        <w:t>. 2007; 64(12):2443-</w:t>
      </w:r>
      <w:r w:rsidR="0056165B" w:rsidRPr="00DB3820">
        <w:t>24</w:t>
      </w:r>
      <w:r w:rsidR="00B469A4" w:rsidRPr="00DB3820">
        <w:t>53.</w:t>
      </w:r>
    </w:p>
    <w:p w:rsidR="00F86644" w:rsidRDefault="00B469A4" w:rsidP="006A48D0">
      <w:pPr>
        <w:widowControl w:val="0"/>
      </w:pPr>
      <w:r w:rsidRPr="00B469A4">
        <w:t xml:space="preserve">14. </w:t>
      </w:r>
      <w:r w:rsidRPr="005F089E">
        <w:t>Cardona-Arias J, Peláez-Vanegas L, López-Saldarriaga J, Duque-Molina M, Leal-Álvarez Ó. Calidad de vida relacionada con la salud en adultos con VIH/sida, Medellín, Colombia, 2009</w:t>
      </w:r>
      <w:r>
        <w:t>. Biomédica</w:t>
      </w:r>
      <w:r w:rsidRPr="006A7B36">
        <w:t xml:space="preserve">. </w:t>
      </w:r>
      <w:r w:rsidRPr="00051628">
        <w:t>2011; 31</w:t>
      </w:r>
      <w:r w:rsidR="002549DA">
        <w:t>(4)</w:t>
      </w:r>
      <w:r w:rsidRPr="00051628">
        <w:t>:532-</w:t>
      </w:r>
      <w:r w:rsidR="0056165B">
        <w:t>5</w:t>
      </w:r>
      <w:r w:rsidRPr="00051628">
        <w:t>44.</w:t>
      </w:r>
    </w:p>
    <w:p w:rsidR="00051628" w:rsidRDefault="00051628" w:rsidP="006A48D0">
      <w:pPr>
        <w:widowControl w:val="0"/>
        <w:rPr>
          <w:lang w:val="en-US"/>
        </w:rPr>
      </w:pPr>
      <w:r w:rsidRPr="00940CC4">
        <w:rPr>
          <w:lang w:val="en-US"/>
        </w:rPr>
        <w:t xml:space="preserve">15. </w:t>
      </w:r>
      <w:proofErr w:type="spellStart"/>
      <w:r w:rsidRPr="00940CC4">
        <w:rPr>
          <w:lang w:val="en-US"/>
        </w:rPr>
        <w:t>Taliani</w:t>
      </w:r>
      <w:proofErr w:type="spellEnd"/>
      <w:r w:rsidRPr="00940CC4">
        <w:rPr>
          <w:lang w:val="en-US"/>
        </w:rPr>
        <w:t xml:space="preserve"> G, </w:t>
      </w:r>
      <w:proofErr w:type="spellStart"/>
      <w:r w:rsidRPr="00940CC4">
        <w:rPr>
          <w:lang w:val="en-US"/>
        </w:rPr>
        <w:t>Rucci</w:t>
      </w:r>
      <w:proofErr w:type="spellEnd"/>
      <w:r w:rsidRPr="00940CC4">
        <w:rPr>
          <w:lang w:val="en-US"/>
        </w:rPr>
        <w:t xml:space="preserve"> P, </w:t>
      </w:r>
      <w:proofErr w:type="spellStart"/>
      <w:r w:rsidRPr="00940CC4">
        <w:rPr>
          <w:lang w:val="en-US"/>
        </w:rPr>
        <w:t>Biliotti</w:t>
      </w:r>
      <w:proofErr w:type="spellEnd"/>
      <w:r w:rsidRPr="00940CC4">
        <w:rPr>
          <w:lang w:val="en-US"/>
        </w:rPr>
        <w:t xml:space="preserve"> E, </w:t>
      </w:r>
      <w:proofErr w:type="spellStart"/>
      <w:r w:rsidRPr="00940CC4">
        <w:rPr>
          <w:lang w:val="en-US"/>
        </w:rPr>
        <w:t>Cirrincione</w:t>
      </w:r>
      <w:proofErr w:type="spellEnd"/>
      <w:r w:rsidRPr="00940CC4">
        <w:rPr>
          <w:lang w:val="en-US"/>
        </w:rPr>
        <w:t xml:space="preserve"> L, </w:t>
      </w:r>
      <w:proofErr w:type="spellStart"/>
      <w:r w:rsidRPr="00940CC4">
        <w:rPr>
          <w:lang w:val="en-US"/>
        </w:rPr>
        <w:t>Aghemo</w:t>
      </w:r>
      <w:proofErr w:type="spellEnd"/>
      <w:r w:rsidRPr="00940CC4">
        <w:rPr>
          <w:lang w:val="en-US"/>
        </w:rPr>
        <w:t xml:space="preserve"> A, </w:t>
      </w:r>
      <w:proofErr w:type="spellStart"/>
      <w:r w:rsidRPr="00940CC4">
        <w:rPr>
          <w:lang w:val="en-US"/>
        </w:rPr>
        <w:t>Alberti</w:t>
      </w:r>
      <w:proofErr w:type="spellEnd"/>
      <w:r w:rsidRPr="00940CC4">
        <w:rPr>
          <w:lang w:val="en-US"/>
        </w:rPr>
        <w:t xml:space="preserve"> A, et al. </w:t>
      </w:r>
      <w:r w:rsidRPr="00051628">
        <w:rPr>
          <w:lang w:val="en-US"/>
        </w:rPr>
        <w:t xml:space="preserve">Therapy expectations and physical comorbidity affect quality of life in chronic hepatitis C virus infection. </w:t>
      </w:r>
      <w:proofErr w:type="gramStart"/>
      <w:r>
        <w:rPr>
          <w:lang w:val="en-US"/>
        </w:rPr>
        <w:t>Journal of viral hepatitis.</w:t>
      </w:r>
      <w:proofErr w:type="gramEnd"/>
      <w:r>
        <w:rPr>
          <w:lang w:val="en-US"/>
        </w:rPr>
        <w:t xml:space="preserve"> 2007</w:t>
      </w:r>
      <w:proofErr w:type="gramStart"/>
      <w:r>
        <w:rPr>
          <w:lang w:val="en-US"/>
        </w:rPr>
        <w:t>;14</w:t>
      </w:r>
      <w:proofErr w:type="gramEnd"/>
      <w:r w:rsidR="002549DA">
        <w:rPr>
          <w:lang w:val="en-US"/>
        </w:rPr>
        <w:t>(12)</w:t>
      </w:r>
      <w:r>
        <w:rPr>
          <w:lang w:val="en-US"/>
        </w:rPr>
        <w:t>:</w:t>
      </w:r>
      <w:r w:rsidR="00A97BD9">
        <w:rPr>
          <w:lang w:val="en-US"/>
        </w:rPr>
        <w:t xml:space="preserve"> </w:t>
      </w:r>
      <w:r>
        <w:rPr>
          <w:lang w:val="en-US"/>
        </w:rPr>
        <w:t>875-882</w:t>
      </w:r>
    </w:p>
    <w:p w:rsidR="00051628" w:rsidRDefault="00A97BD9" w:rsidP="006A48D0">
      <w:pPr>
        <w:widowControl w:val="0"/>
        <w:rPr>
          <w:lang w:val="en-US"/>
        </w:rPr>
      </w:pPr>
      <w:r w:rsidRPr="00225F59">
        <w:rPr>
          <w:lang w:val="en-US"/>
        </w:rPr>
        <w:t xml:space="preserve">16. </w:t>
      </w:r>
      <w:proofErr w:type="spellStart"/>
      <w:r w:rsidRPr="00225F59">
        <w:rPr>
          <w:lang w:val="en-US"/>
        </w:rPr>
        <w:t>Mkangara</w:t>
      </w:r>
      <w:proofErr w:type="spellEnd"/>
      <w:r w:rsidRPr="00225F59">
        <w:rPr>
          <w:lang w:val="en-US"/>
        </w:rPr>
        <w:t xml:space="preserve"> OB, Wang C, Xiang H, </w:t>
      </w:r>
      <w:proofErr w:type="spellStart"/>
      <w:r w:rsidRPr="00225F59">
        <w:rPr>
          <w:lang w:val="en-US"/>
        </w:rPr>
        <w:t>Xu</w:t>
      </w:r>
      <w:proofErr w:type="spellEnd"/>
      <w:r w:rsidRPr="00225F59">
        <w:rPr>
          <w:lang w:val="en-US"/>
        </w:rPr>
        <w:t xml:space="preserve"> Y, </w:t>
      </w:r>
      <w:proofErr w:type="spellStart"/>
      <w:r w:rsidRPr="00225F59">
        <w:rPr>
          <w:lang w:val="en-US"/>
        </w:rPr>
        <w:t>Nie</w:t>
      </w:r>
      <w:proofErr w:type="spellEnd"/>
      <w:r w:rsidRPr="00225F59">
        <w:rPr>
          <w:lang w:val="en-US"/>
        </w:rPr>
        <w:t xml:space="preserve"> S, Liu L, et al. </w:t>
      </w:r>
      <w:r w:rsidRPr="005F089E">
        <w:rPr>
          <w:lang w:val="en-US"/>
        </w:rPr>
        <w:t xml:space="preserve">The </w:t>
      </w:r>
      <w:proofErr w:type="spellStart"/>
      <w:r w:rsidRPr="005F089E">
        <w:rPr>
          <w:lang w:val="en-US"/>
        </w:rPr>
        <w:t>univariate</w:t>
      </w:r>
      <w:proofErr w:type="spellEnd"/>
      <w:r w:rsidRPr="005F089E">
        <w:rPr>
          <w:lang w:val="en-US"/>
        </w:rPr>
        <w:t xml:space="preserve"> and bivariate impact of HIV/AIDS on the quality of life: a cross sectional study in the Hubei Province-Central China. J </w:t>
      </w:r>
      <w:proofErr w:type="spellStart"/>
      <w:r w:rsidRPr="005F089E">
        <w:rPr>
          <w:lang w:val="en-US"/>
        </w:rPr>
        <w:t>Huazhong</w:t>
      </w:r>
      <w:proofErr w:type="spellEnd"/>
      <w:r w:rsidRPr="005F089E">
        <w:rPr>
          <w:lang w:val="en-US"/>
        </w:rPr>
        <w:t xml:space="preserve"> </w:t>
      </w:r>
      <w:proofErr w:type="spellStart"/>
      <w:r w:rsidRPr="005F089E">
        <w:rPr>
          <w:lang w:val="en-US"/>
        </w:rPr>
        <w:t>Univ</w:t>
      </w:r>
      <w:proofErr w:type="spellEnd"/>
      <w:r w:rsidRPr="005F089E">
        <w:rPr>
          <w:lang w:val="en-US"/>
        </w:rPr>
        <w:t xml:space="preserve"> </w:t>
      </w:r>
      <w:proofErr w:type="spellStart"/>
      <w:r w:rsidRPr="005F089E">
        <w:rPr>
          <w:lang w:val="en-US"/>
        </w:rPr>
        <w:t>Sci</w:t>
      </w:r>
      <w:proofErr w:type="spellEnd"/>
      <w:r w:rsidRPr="005F089E">
        <w:rPr>
          <w:lang w:val="en-US"/>
        </w:rPr>
        <w:t xml:space="preserve"> </w:t>
      </w:r>
      <w:proofErr w:type="spellStart"/>
      <w:r w:rsidRPr="005F089E">
        <w:rPr>
          <w:lang w:val="en-US"/>
        </w:rPr>
        <w:t>Technolog</w:t>
      </w:r>
      <w:proofErr w:type="spellEnd"/>
      <w:r w:rsidRPr="005F089E">
        <w:rPr>
          <w:lang w:val="en-US"/>
        </w:rPr>
        <w:t xml:space="preserve"> Med Sci. 2009;</w:t>
      </w:r>
      <w:r>
        <w:rPr>
          <w:lang w:val="en-US"/>
        </w:rPr>
        <w:t xml:space="preserve"> </w:t>
      </w:r>
      <w:r w:rsidRPr="005F089E">
        <w:rPr>
          <w:lang w:val="en-US"/>
        </w:rPr>
        <w:t>29(2):260-</w:t>
      </w:r>
      <w:r w:rsidR="0056165B">
        <w:rPr>
          <w:lang w:val="en-US"/>
        </w:rPr>
        <w:t>2</w:t>
      </w:r>
      <w:r w:rsidR="00996C96">
        <w:rPr>
          <w:lang w:val="en-US"/>
        </w:rPr>
        <w:t>6</w:t>
      </w:r>
      <w:r w:rsidRPr="005F089E">
        <w:rPr>
          <w:lang w:val="en-US"/>
        </w:rPr>
        <w:t>4.</w:t>
      </w:r>
    </w:p>
    <w:p w:rsidR="00A97BD9" w:rsidRPr="00A97BD9" w:rsidRDefault="00996C96" w:rsidP="006A48D0">
      <w:pPr>
        <w:widowControl w:val="0"/>
      </w:pPr>
      <w:r>
        <w:rPr>
          <w:lang w:val="en-US"/>
        </w:rPr>
        <w:t>17</w:t>
      </w:r>
      <w:r w:rsidR="00A97BD9">
        <w:rPr>
          <w:lang w:val="en-US"/>
        </w:rPr>
        <w:t>.</w:t>
      </w:r>
      <w:r>
        <w:rPr>
          <w:lang w:val="en-US"/>
        </w:rPr>
        <w:t xml:space="preserve"> </w:t>
      </w:r>
      <w:proofErr w:type="spellStart"/>
      <w:r w:rsidRPr="005F089E">
        <w:rPr>
          <w:lang w:val="en-US"/>
        </w:rPr>
        <w:t>Sakthong</w:t>
      </w:r>
      <w:proofErr w:type="spellEnd"/>
      <w:r w:rsidRPr="005F089E">
        <w:rPr>
          <w:lang w:val="en-US"/>
        </w:rPr>
        <w:t xml:space="preserve"> P, </w:t>
      </w:r>
      <w:proofErr w:type="spellStart"/>
      <w:r w:rsidRPr="005F089E">
        <w:rPr>
          <w:lang w:val="en-US"/>
        </w:rPr>
        <w:t>Schommer</w:t>
      </w:r>
      <w:proofErr w:type="spellEnd"/>
      <w:r w:rsidRPr="005F089E">
        <w:rPr>
          <w:lang w:val="en-US"/>
        </w:rPr>
        <w:t xml:space="preserve"> JC, Gross CR, </w:t>
      </w:r>
      <w:proofErr w:type="spellStart"/>
      <w:r w:rsidRPr="005F089E">
        <w:rPr>
          <w:lang w:val="en-US"/>
        </w:rPr>
        <w:t>Prasithsirikul</w:t>
      </w:r>
      <w:proofErr w:type="spellEnd"/>
      <w:r w:rsidRPr="005F089E">
        <w:rPr>
          <w:lang w:val="en-US"/>
        </w:rPr>
        <w:t xml:space="preserve"> W, </w:t>
      </w:r>
      <w:proofErr w:type="spellStart"/>
      <w:r w:rsidRPr="005F089E">
        <w:rPr>
          <w:lang w:val="en-US"/>
        </w:rPr>
        <w:t>Sakulbumrungsil</w:t>
      </w:r>
      <w:proofErr w:type="spellEnd"/>
      <w:r w:rsidRPr="005F089E">
        <w:rPr>
          <w:lang w:val="en-US"/>
        </w:rPr>
        <w:t xml:space="preserve"> R. </w:t>
      </w:r>
      <w:r w:rsidRPr="005F089E">
        <w:rPr>
          <w:lang w:val="en-US"/>
        </w:rPr>
        <w:lastRenderedPageBreak/>
        <w:t xml:space="preserve">Health utilities in patients with HIV/AIDS in Thailand. </w:t>
      </w:r>
      <w:proofErr w:type="spellStart"/>
      <w:r w:rsidRPr="00996C96">
        <w:t>Value</w:t>
      </w:r>
      <w:proofErr w:type="spellEnd"/>
      <w:r w:rsidRPr="00996C96">
        <w:t xml:space="preserve"> </w:t>
      </w:r>
      <w:proofErr w:type="spellStart"/>
      <w:r w:rsidRPr="00996C96">
        <w:t>Health</w:t>
      </w:r>
      <w:proofErr w:type="spellEnd"/>
      <w:r w:rsidRPr="00996C96">
        <w:t>. 2009; 12(2):377-384.</w:t>
      </w:r>
      <w:r w:rsidR="00A97BD9" w:rsidRPr="00996C96">
        <w:t xml:space="preserve"> </w:t>
      </w:r>
    </w:p>
    <w:p w:rsidR="00996C96" w:rsidRDefault="00996C96" w:rsidP="006A48D0">
      <w:pPr>
        <w:widowControl w:val="0"/>
        <w:rPr>
          <w:lang w:val="en-US"/>
        </w:rPr>
      </w:pPr>
      <w:r w:rsidRPr="00996C96">
        <w:rPr>
          <w:lang w:val="en-US"/>
        </w:rPr>
        <w:t xml:space="preserve">18. Costa M, Terra F, Costa D, Lyon S, Costa A, </w:t>
      </w:r>
      <w:proofErr w:type="spellStart"/>
      <w:r w:rsidRPr="00996C96">
        <w:rPr>
          <w:lang w:val="en-US"/>
        </w:rPr>
        <w:t>Antunes</w:t>
      </w:r>
      <w:proofErr w:type="spellEnd"/>
      <w:r w:rsidRPr="00996C96">
        <w:rPr>
          <w:lang w:val="en-US"/>
        </w:rPr>
        <w:t xml:space="preserve"> C. </w:t>
      </w:r>
      <w:r w:rsidRPr="005F089E">
        <w:rPr>
          <w:lang w:val="en-US"/>
        </w:rPr>
        <w:t xml:space="preserve">Assessment of quality of life of patients with leprosy </w:t>
      </w:r>
      <w:proofErr w:type="spellStart"/>
      <w:r w:rsidRPr="005F089E">
        <w:rPr>
          <w:lang w:val="en-US"/>
        </w:rPr>
        <w:t>reactional</w:t>
      </w:r>
      <w:proofErr w:type="spellEnd"/>
      <w:r w:rsidRPr="005F089E">
        <w:rPr>
          <w:lang w:val="en-US"/>
        </w:rPr>
        <w:t xml:space="preserve"> states treated in a dermatology reference center</w:t>
      </w:r>
      <w:r>
        <w:rPr>
          <w:lang w:val="en-US"/>
        </w:rPr>
        <w:t xml:space="preserve">. </w:t>
      </w:r>
      <w:proofErr w:type="gramStart"/>
      <w:r>
        <w:rPr>
          <w:lang w:val="en-US"/>
        </w:rPr>
        <w:t>An</w:t>
      </w:r>
      <w:proofErr w:type="gramEnd"/>
      <w:r>
        <w:rPr>
          <w:lang w:val="en-US"/>
        </w:rPr>
        <w:t xml:space="preserve"> Bras </w:t>
      </w:r>
      <w:proofErr w:type="spellStart"/>
      <w:r>
        <w:rPr>
          <w:lang w:val="en-US"/>
        </w:rPr>
        <w:t>Dermatol</w:t>
      </w:r>
      <w:proofErr w:type="spellEnd"/>
      <w:r>
        <w:rPr>
          <w:lang w:val="en-US"/>
        </w:rPr>
        <w:t>. 2012; 87(1):26-35</w:t>
      </w:r>
    </w:p>
    <w:p w:rsidR="00996C96" w:rsidRDefault="00996C96" w:rsidP="006A48D0">
      <w:pPr>
        <w:widowControl w:val="0"/>
        <w:rPr>
          <w:lang w:val="en-US"/>
        </w:rPr>
      </w:pPr>
      <w:r w:rsidRPr="00996C96">
        <w:rPr>
          <w:lang w:val="en-US"/>
        </w:rPr>
        <w:t xml:space="preserve">19. Ozaki Y, </w:t>
      </w:r>
      <w:proofErr w:type="spellStart"/>
      <w:r w:rsidRPr="00996C96">
        <w:rPr>
          <w:lang w:val="en-US"/>
        </w:rPr>
        <w:t>Guariento</w:t>
      </w:r>
      <w:proofErr w:type="spellEnd"/>
      <w:r w:rsidRPr="00996C96">
        <w:rPr>
          <w:lang w:val="en-US"/>
        </w:rPr>
        <w:t xml:space="preserve"> M, Almeida E. Quality of life and depressive symptoms in </w:t>
      </w:r>
      <w:proofErr w:type="spellStart"/>
      <w:r w:rsidRPr="00996C96">
        <w:rPr>
          <w:lang w:val="en-US"/>
        </w:rPr>
        <w:t>Chagas</w:t>
      </w:r>
      <w:proofErr w:type="spellEnd"/>
      <w:r w:rsidRPr="00996C96">
        <w:rPr>
          <w:lang w:val="en-US"/>
        </w:rPr>
        <w:t xml:space="preserve"> disease patients. </w:t>
      </w:r>
      <w:proofErr w:type="spellStart"/>
      <w:r>
        <w:rPr>
          <w:lang w:val="en-US"/>
        </w:rPr>
        <w:t>Qual</w:t>
      </w:r>
      <w:proofErr w:type="spellEnd"/>
      <w:r>
        <w:rPr>
          <w:lang w:val="en-US"/>
        </w:rPr>
        <w:t xml:space="preserve"> Life Res. 2011; 20</w:t>
      </w:r>
      <w:r w:rsidR="002549DA">
        <w:rPr>
          <w:lang w:val="en-US"/>
        </w:rPr>
        <w:t>(1)</w:t>
      </w:r>
      <w:r>
        <w:rPr>
          <w:lang w:val="en-US"/>
        </w:rPr>
        <w:t>: 133-138</w:t>
      </w:r>
    </w:p>
    <w:p w:rsidR="002549DA" w:rsidRDefault="00BB05E9" w:rsidP="006A48D0">
      <w:pPr>
        <w:widowControl w:val="0"/>
        <w:rPr>
          <w:lang w:val="en-US"/>
        </w:rPr>
      </w:pPr>
      <w:r>
        <w:rPr>
          <w:lang w:val="en-US"/>
        </w:rPr>
        <w:t xml:space="preserve">20. </w:t>
      </w:r>
      <w:proofErr w:type="spellStart"/>
      <w:r w:rsidRPr="005F089E">
        <w:rPr>
          <w:lang w:val="en-US"/>
        </w:rPr>
        <w:t>Galvão</w:t>
      </w:r>
      <w:proofErr w:type="spellEnd"/>
      <w:r w:rsidRPr="005F089E">
        <w:rPr>
          <w:lang w:val="en-US"/>
        </w:rPr>
        <w:t>-Castro AV, Boa-</w:t>
      </w:r>
      <w:proofErr w:type="spellStart"/>
      <w:r w:rsidRPr="005F089E">
        <w:rPr>
          <w:lang w:val="en-US"/>
        </w:rPr>
        <w:t>Sorte</w:t>
      </w:r>
      <w:proofErr w:type="spellEnd"/>
      <w:r w:rsidRPr="005F089E">
        <w:rPr>
          <w:lang w:val="en-US"/>
        </w:rPr>
        <w:t xml:space="preserve"> N, </w:t>
      </w:r>
      <w:proofErr w:type="spellStart"/>
      <w:r w:rsidRPr="005F089E">
        <w:rPr>
          <w:lang w:val="en-US"/>
        </w:rPr>
        <w:t>Kruschewsky</w:t>
      </w:r>
      <w:proofErr w:type="spellEnd"/>
      <w:r w:rsidRPr="005F089E">
        <w:rPr>
          <w:lang w:val="en-US"/>
        </w:rPr>
        <w:t xml:space="preserve"> RA, </w:t>
      </w:r>
      <w:proofErr w:type="spellStart"/>
      <w:r w:rsidRPr="005F089E">
        <w:rPr>
          <w:lang w:val="en-US"/>
        </w:rPr>
        <w:t>Grassi</w:t>
      </w:r>
      <w:proofErr w:type="spellEnd"/>
      <w:r w:rsidRPr="005F089E">
        <w:rPr>
          <w:lang w:val="en-US"/>
        </w:rPr>
        <w:t xml:space="preserve"> MF, </w:t>
      </w:r>
      <w:proofErr w:type="spellStart"/>
      <w:r w:rsidRPr="005F089E">
        <w:rPr>
          <w:lang w:val="en-US"/>
        </w:rPr>
        <w:t>Galvão</w:t>
      </w:r>
      <w:proofErr w:type="spellEnd"/>
      <w:r w:rsidRPr="005F089E">
        <w:rPr>
          <w:lang w:val="en-US"/>
        </w:rPr>
        <w:t xml:space="preserve">-Castro B. Impact of depression on quality of life in people living with human T cell </w:t>
      </w:r>
      <w:proofErr w:type="spellStart"/>
      <w:r w:rsidRPr="005F089E">
        <w:rPr>
          <w:lang w:val="en-US"/>
        </w:rPr>
        <w:t>lymphotropic</w:t>
      </w:r>
      <w:proofErr w:type="spellEnd"/>
      <w:r w:rsidRPr="005F089E">
        <w:rPr>
          <w:lang w:val="en-US"/>
        </w:rPr>
        <w:t xml:space="preserve"> virus type 1 (HTLV-1) in Salvador, Brazil. </w:t>
      </w:r>
      <w:proofErr w:type="spellStart"/>
      <w:r w:rsidRPr="00DB3820">
        <w:rPr>
          <w:lang w:val="en-US"/>
        </w:rPr>
        <w:t>Qual</w:t>
      </w:r>
      <w:proofErr w:type="spellEnd"/>
      <w:r w:rsidRPr="00DB3820">
        <w:rPr>
          <w:lang w:val="en-US"/>
        </w:rPr>
        <w:t xml:space="preserve"> Life Res. 201</w:t>
      </w:r>
      <w:r w:rsidR="008D41D9">
        <w:rPr>
          <w:lang w:val="en-US"/>
        </w:rPr>
        <w:t>2; 21(9): 1545-50.</w:t>
      </w:r>
    </w:p>
    <w:p w:rsidR="003C5F5B" w:rsidRDefault="003C5F5B" w:rsidP="006A48D0">
      <w:pPr>
        <w:widowControl w:val="0"/>
        <w:rPr>
          <w:lang w:val="en-US"/>
        </w:rPr>
      </w:pPr>
      <w:r w:rsidRPr="003C5F5B">
        <w:rPr>
          <w:lang w:val="en-US"/>
        </w:rPr>
        <w:t xml:space="preserve">21. </w:t>
      </w:r>
      <w:proofErr w:type="spellStart"/>
      <w:r w:rsidRPr="003C5F5B">
        <w:rPr>
          <w:lang w:val="en-US"/>
        </w:rPr>
        <w:t>Naveet</w:t>
      </w:r>
      <w:proofErr w:type="spellEnd"/>
      <w:r w:rsidRPr="003C5F5B">
        <w:rPr>
          <w:lang w:val="en-US"/>
        </w:rPr>
        <w:t xml:space="preserve"> W, Raja L, </w:t>
      </w:r>
      <w:proofErr w:type="spellStart"/>
      <w:r w:rsidRPr="003C5F5B">
        <w:rPr>
          <w:lang w:val="en-US"/>
        </w:rPr>
        <w:t>Hemraj</w:t>
      </w:r>
      <w:proofErr w:type="spellEnd"/>
      <w:r w:rsidRPr="003C5F5B">
        <w:rPr>
          <w:lang w:val="en-US"/>
        </w:rPr>
        <w:t xml:space="preserve"> P, </w:t>
      </w:r>
      <w:proofErr w:type="spellStart"/>
      <w:r w:rsidRPr="003C5F5B">
        <w:rPr>
          <w:lang w:val="en-US"/>
        </w:rPr>
        <w:t>Vivek</w:t>
      </w:r>
      <w:proofErr w:type="spellEnd"/>
      <w:r w:rsidRPr="003C5F5B">
        <w:rPr>
          <w:lang w:val="en-US"/>
        </w:rPr>
        <w:t xml:space="preserve"> A, </w:t>
      </w:r>
      <w:proofErr w:type="spellStart"/>
      <w:r w:rsidRPr="003C5F5B">
        <w:rPr>
          <w:lang w:val="en-US"/>
        </w:rPr>
        <w:t>Chander</w:t>
      </w:r>
      <w:proofErr w:type="spellEnd"/>
      <w:r w:rsidRPr="003C5F5B">
        <w:rPr>
          <w:lang w:val="en-US"/>
        </w:rPr>
        <w:t xml:space="preserve"> M, Sunil K.  The impact of HIV/AIDS on the quality of life: A cross sectional study in north India. </w:t>
      </w:r>
      <w:r w:rsidR="000156BE">
        <w:rPr>
          <w:lang w:val="en-US"/>
        </w:rPr>
        <w:t>Indian J Med Sci. 2006; 60(1): 3-12</w:t>
      </w:r>
    </w:p>
    <w:p w:rsidR="00227BD9" w:rsidRPr="003C5F5B" w:rsidRDefault="00227BD9" w:rsidP="006A48D0">
      <w:pPr>
        <w:widowControl w:val="0"/>
        <w:rPr>
          <w:lang w:val="en-US"/>
        </w:rPr>
      </w:pPr>
      <w:r>
        <w:rPr>
          <w:lang w:val="en-US"/>
        </w:rPr>
        <w:t xml:space="preserve">22. </w:t>
      </w:r>
      <w:proofErr w:type="spellStart"/>
      <w:r w:rsidR="00162A8C" w:rsidRPr="00162A8C">
        <w:rPr>
          <w:lang w:val="en-US"/>
        </w:rPr>
        <w:t>Mankar</w:t>
      </w:r>
      <w:proofErr w:type="spellEnd"/>
      <w:r w:rsidR="00162A8C" w:rsidRPr="00162A8C">
        <w:rPr>
          <w:lang w:val="en-US"/>
        </w:rPr>
        <w:t xml:space="preserve"> MJ, Joshi SM, </w:t>
      </w:r>
      <w:proofErr w:type="spellStart"/>
      <w:r w:rsidR="00162A8C" w:rsidRPr="00162A8C">
        <w:rPr>
          <w:lang w:val="en-US"/>
        </w:rPr>
        <w:t>Velankar</w:t>
      </w:r>
      <w:proofErr w:type="spellEnd"/>
      <w:r w:rsidR="00162A8C" w:rsidRPr="00162A8C">
        <w:rPr>
          <w:lang w:val="en-US"/>
        </w:rPr>
        <w:t xml:space="preserve"> DH, </w:t>
      </w:r>
      <w:proofErr w:type="spellStart"/>
      <w:r w:rsidR="00162A8C" w:rsidRPr="00162A8C">
        <w:rPr>
          <w:lang w:val="en-US"/>
        </w:rPr>
        <w:t>Mhatre</w:t>
      </w:r>
      <w:proofErr w:type="spellEnd"/>
      <w:r w:rsidR="00162A8C" w:rsidRPr="00162A8C">
        <w:rPr>
          <w:lang w:val="en-US"/>
        </w:rPr>
        <w:t xml:space="preserve"> RK, </w:t>
      </w:r>
      <w:proofErr w:type="spellStart"/>
      <w:r w:rsidR="00162A8C" w:rsidRPr="00162A8C">
        <w:rPr>
          <w:lang w:val="en-US"/>
        </w:rPr>
        <w:t>Nalgundwar</w:t>
      </w:r>
      <w:proofErr w:type="spellEnd"/>
      <w:r w:rsidR="00162A8C" w:rsidRPr="00162A8C">
        <w:rPr>
          <w:lang w:val="en-US"/>
        </w:rPr>
        <w:t xml:space="preserve"> AN. </w:t>
      </w:r>
      <w:r w:rsidR="00162A8C" w:rsidRPr="005F089E">
        <w:rPr>
          <w:lang w:val="en-US"/>
        </w:rPr>
        <w:t xml:space="preserve">A Comparative Study of the Quality of Life, Knowledge, Attitude and Belief </w:t>
      </w:r>
      <w:proofErr w:type="gramStart"/>
      <w:r w:rsidR="00162A8C" w:rsidRPr="005F089E">
        <w:rPr>
          <w:lang w:val="en-US"/>
        </w:rPr>
        <w:t>About Leprosy Disease Among</w:t>
      </w:r>
      <w:proofErr w:type="gramEnd"/>
      <w:r w:rsidR="00162A8C" w:rsidRPr="005F089E">
        <w:rPr>
          <w:lang w:val="en-US"/>
        </w:rPr>
        <w:t xml:space="preserve"> Leprosy Patients and Community Members in </w:t>
      </w:r>
      <w:proofErr w:type="spellStart"/>
      <w:r w:rsidR="00162A8C" w:rsidRPr="005F089E">
        <w:rPr>
          <w:lang w:val="en-US"/>
        </w:rPr>
        <w:t>Shantivan</w:t>
      </w:r>
      <w:proofErr w:type="spellEnd"/>
      <w:r w:rsidR="00162A8C" w:rsidRPr="005F089E">
        <w:rPr>
          <w:lang w:val="en-US"/>
        </w:rPr>
        <w:t xml:space="preserve"> Leprosy Rehabilitation </w:t>
      </w:r>
      <w:proofErr w:type="spellStart"/>
      <w:r w:rsidR="00162A8C" w:rsidRPr="005F089E">
        <w:rPr>
          <w:lang w:val="en-US"/>
        </w:rPr>
        <w:t>centre</w:t>
      </w:r>
      <w:proofErr w:type="spellEnd"/>
      <w:r w:rsidR="00162A8C" w:rsidRPr="005F089E">
        <w:rPr>
          <w:lang w:val="en-US"/>
        </w:rPr>
        <w:t xml:space="preserve">, </w:t>
      </w:r>
      <w:proofErr w:type="spellStart"/>
      <w:r w:rsidR="00162A8C" w:rsidRPr="005F089E">
        <w:rPr>
          <w:lang w:val="en-US"/>
        </w:rPr>
        <w:t>Nere</w:t>
      </w:r>
      <w:proofErr w:type="spellEnd"/>
      <w:r w:rsidR="00162A8C" w:rsidRPr="005F089E">
        <w:rPr>
          <w:lang w:val="en-US"/>
        </w:rPr>
        <w:t>, Maharashtra, India. J Glob Infect Dis. 2011;</w:t>
      </w:r>
      <w:r w:rsidR="00162A8C">
        <w:rPr>
          <w:lang w:val="en-US"/>
        </w:rPr>
        <w:t xml:space="preserve"> </w:t>
      </w:r>
      <w:r w:rsidR="00162A8C" w:rsidRPr="005F089E">
        <w:rPr>
          <w:lang w:val="en-US"/>
        </w:rPr>
        <w:t>3(4):378-</w:t>
      </w:r>
      <w:r w:rsidR="0056165B">
        <w:rPr>
          <w:lang w:val="en-US"/>
        </w:rPr>
        <w:t>3</w:t>
      </w:r>
      <w:r w:rsidR="00162A8C" w:rsidRPr="005F089E">
        <w:rPr>
          <w:lang w:val="en-US"/>
        </w:rPr>
        <w:t>82.</w:t>
      </w:r>
      <w:r>
        <w:rPr>
          <w:lang w:val="en-US"/>
        </w:rPr>
        <w:t xml:space="preserve"> </w:t>
      </w:r>
    </w:p>
    <w:p w:rsidR="009C1581" w:rsidRDefault="00162A8C" w:rsidP="006A48D0">
      <w:pPr>
        <w:widowControl w:val="0"/>
        <w:rPr>
          <w:lang w:val="en-US"/>
        </w:rPr>
      </w:pPr>
      <w:r w:rsidRPr="00162A8C">
        <w:rPr>
          <w:lang w:val="en-US"/>
        </w:rPr>
        <w:t xml:space="preserve">23. Allen J, Hamilton A, Nunn R, </w:t>
      </w:r>
      <w:r>
        <w:rPr>
          <w:lang w:val="en-US"/>
        </w:rPr>
        <w:t xml:space="preserve">Crock L, </w:t>
      </w:r>
      <w:proofErr w:type="spellStart"/>
      <w:r>
        <w:rPr>
          <w:lang w:val="en-US"/>
        </w:rPr>
        <w:t>Frecker</w:t>
      </w:r>
      <w:proofErr w:type="spellEnd"/>
      <w:r>
        <w:rPr>
          <w:lang w:val="en-US"/>
        </w:rPr>
        <w:t xml:space="preserve"> J, Burn N. Evaluation of a community-based mental health drug and alcohol nurse in the care of people living with HIV/AIDS. </w:t>
      </w:r>
      <w:proofErr w:type="gramStart"/>
      <w:r>
        <w:rPr>
          <w:lang w:val="en-US"/>
        </w:rPr>
        <w:t xml:space="preserve">J </w:t>
      </w:r>
      <w:proofErr w:type="spellStart"/>
      <w:r>
        <w:rPr>
          <w:lang w:val="en-US"/>
        </w:rPr>
        <w:t>Psychiatr</w:t>
      </w:r>
      <w:proofErr w:type="spellEnd"/>
      <w:r>
        <w:rPr>
          <w:lang w:val="en-US"/>
        </w:rPr>
        <w:t xml:space="preserve"> </w:t>
      </w:r>
      <w:proofErr w:type="spellStart"/>
      <w:r>
        <w:rPr>
          <w:lang w:val="en-US"/>
        </w:rPr>
        <w:t>Ment</w:t>
      </w:r>
      <w:proofErr w:type="spellEnd"/>
      <w:r>
        <w:rPr>
          <w:lang w:val="en-US"/>
        </w:rPr>
        <w:t xml:space="preserve"> Health </w:t>
      </w:r>
      <w:proofErr w:type="spellStart"/>
      <w:r>
        <w:rPr>
          <w:lang w:val="en-US"/>
        </w:rPr>
        <w:t>Nurs</w:t>
      </w:r>
      <w:proofErr w:type="spellEnd"/>
      <w:r>
        <w:rPr>
          <w:lang w:val="en-US"/>
        </w:rPr>
        <w:t>.</w:t>
      </w:r>
      <w:proofErr w:type="gramEnd"/>
      <w:r>
        <w:rPr>
          <w:lang w:val="en-US"/>
        </w:rPr>
        <w:t xml:space="preserve"> 2009; 16(2): 129-136</w:t>
      </w:r>
      <w:r w:rsidR="008D41D9">
        <w:rPr>
          <w:lang w:val="en-US"/>
        </w:rPr>
        <w:t>.</w:t>
      </w:r>
    </w:p>
    <w:p w:rsidR="00162A8C" w:rsidRPr="006C157A" w:rsidRDefault="0056165B" w:rsidP="006A48D0">
      <w:pPr>
        <w:widowControl w:val="0"/>
      </w:pPr>
      <w:r>
        <w:rPr>
          <w:lang w:val="en-US"/>
        </w:rPr>
        <w:t xml:space="preserve">24. </w:t>
      </w:r>
      <w:r w:rsidRPr="005F089E">
        <w:rPr>
          <w:lang w:val="en-US"/>
        </w:rPr>
        <w:t xml:space="preserve">Yen CF, Tsai JJ, Lu PL, Chen YH, Chen TC, Chen PP, et al. Quality of life and its correlates in HIV/AIDS male outpatients receiving highly active antiretroviral therapy in Taiwan. </w:t>
      </w:r>
      <w:proofErr w:type="spellStart"/>
      <w:r w:rsidRPr="006C157A">
        <w:t>Psychiatry</w:t>
      </w:r>
      <w:proofErr w:type="spellEnd"/>
      <w:r w:rsidRPr="006C157A">
        <w:t xml:space="preserve"> </w:t>
      </w:r>
      <w:proofErr w:type="spellStart"/>
      <w:r w:rsidRPr="006C157A">
        <w:t>Clin</w:t>
      </w:r>
      <w:proofErr w:type="spellEnd"/>
      <w:r w:rsidRPr="006C157A">
        <w:t xml:space="preserve"> </w:t>
      </w:r>
      <w:proofErr w:type="spellStart"/>
      <w:r w:rsidRPr="006C157A">
        <w:t>Neurosci</w:t>
      </w:r>
      <w:proofErr w:type="spellEnd"/>
      <w:r w:rsidRPr="006C157A">
        <w:t>. 2004; 58(5):501-506.</w:t>
      </w:r>
    </w:p>
    <w:p w:rsidR="00BB05E9" w:rsidRDefault="006C157A" w:rsidP="006A48D0">
      <w:pPr>
        <w:widowControl w:val="0"/>
      </w:pPr>
      <w:r w:rsidRPr="006C157A">
        <w:t xml:space="preserve">25. </w:t>
      </w:r>
      <w:r w:rsidRPr="0066080D">
        <w:t xml:space="preserve">Espinosa </w:t>
      </w:r>
      <w:proofErr w:type="gramStart"/>
      <w:r w:rsidRPr="0066080D">
        <w:t>A</w:t>
      </w:r>
      <w:proofErr w:type="gramEnd"/>
      <w:r w:rsidRPr="0066080D">
        <w:t>. La paradoja de la salud y el modelo médico hegemónico</w:t>
      </w:r>
      <w:bookmarkStart w:id="4" w:name=""/>
      <w:bookmarkEnd w:id="4"/>
      <w:r w:rsidRPr="0066080D">
        <w:t xml:space="preserve">. Revista </w:t>
      </w:r>
      <w:r w:rsidRPr="0066080D">
        <w:lastRenderedPageBreak/>
        <w:t xml:space="preserve">Cubana de Salud Pública. 2013; 39(1). </w:t>
      </w:r>
      <w:r w:rsidRPr="004B430A">
        <w:t xml:space="preserve">[Internet]. 2012 [citado 10 Ene 2013]. </w:t>
      </w:r>
      <w:r>
        <w:t>Disponible en</w:t>
      </w:r>
      <w:r w:rsidRPr="0066080D">
        <w:t xml:space="preserve">: </w:t>
      </w:r>
      <w:r w:rsidRPr="006C157A">
        <w:t>http://bvs.sld.cu/revistas/spu/vol39_1_13/spu01113.htm</w:t>
      </w:r>
      <w:r w:rsidR="008D41D9">
        <w:t>.</w:t>
      </w:r>
    </w:p>
    <w:p w:rsidR="006C157A" w:rsidRPr="008D41D9" w:rsidRDefault="006C157A" w:rsidP="006A48D0">
      <w:pPr>
        <w:widowControl w:val="0"/>
        <w:rPr>
          <w:lang w:val="en-US"/>
        </w:rPr>
      </w:pPr>
      <w:r w:rsidRPr="006C157A">
        <w:rPr>
          <w:bCs/>
          <w:lang w:val="en-US"/>
        </w:rPr>
        <w:t xml:space="preserve">26. </w:t>
      </w:r>
      <w:r w:rsidRPr="0001726A">
        <w:rPr>
          <w:rFonts w:eastAsia="Times New Roman"/>
          <w:lang w:val="en-US" w:eastAsia="es-MX"/>
        </w:rPr>
        <w:t>Boyd-Franklin N, Steiner G, Boland MG. Children, families and HIV/Aids: Psychosocial and therapeutic issues</w:t>
      </w:r>
      <w:r>
        <w:rPr>
          <w:rFonts w:eastAsia="Times New Roman"/>
          <w:lang w:val="en-US" w:eastAsia="es-MX"/>
        </w:rPr>
        <w:t>.</w:t>
      </w:r>
      <w:r w:rsidR="002549DA">
        <w:rPr>
          <w:rFonts w:eastAsia="Times New Roman"/>
          <w:lang w:val="en-US" w:eastAsia="es-MX"/>
        </w:rPr>
        <w:t xml:space="preserve"> </w:t>
      </w:r>
      <w:r w:rsidR="002549DA" w:rsidRPr="008D41D9">
        <w:rPr>
          <w:rFonts w:eastAsia="Times New Roman"/>
          <w:lang w:val="en-US" w:eastAsia="es-MX"/>
        </w:rPr>
        <w:t>New York</w:t>
      </w:r>
      <w:r w:rsidR="008D41D9" w:rsidRPr="008D41D9">
        <w:rPr>
          <w:rFonts w:eastAsia="Times New Roman"/>
          <w:lang w:val="en-US" w:eastAsia="es-MX"/>
        </w:rPr>
        <w:t>:</w:t>
      </w:r>
      <w:r w:rsidRPr="008D41D9">
        <w:rPr>
          <w:rFonts w:eastAsia="Times New Roman"/>
          <w:lang w:val="en-US" w:eastAsia="es-MX"/>
        </w:rPr>
        <w:t xml:space="preserve"> Guilford press. 1995</w:t>
      </w:r>
      <w:r w:rsidR="008D41D9" w:rsidRPr="008D41D9">
        <w:rPr>
          <w:rFonts w:eastAsia="Times New Roman"/>
          <w:lang w:val="en-US" w:eastAsia="es-MX"/>
        </w:rPr>
        <w:t>.</w:t>
      </w:r>
      <w:r w:rsidR="002549DA" w:rsidRPr="008D41D9">
        <w:rPr>
          <w:rFonts w:eastAsia="Times New Roman"/>
          <w:lang w:val="en-US" w:eastAsia="es-MX"/>
        </w:rPr>
        <w:t xml:space="preserve"> 334 pgs</w:t>
      </w:r>
      <w:r w:rsidR="008D41D9">
        <w:rPr>
          <w:rFonts w:eastAsia="Times New Roman"/>
          <w:lang w:val="en-US" w:eastAsia="es-MX"/>
        </w:rPr>
        <w:t>.</w:t>
      </w:r>
    </w:p>
    <w:p w:rsidR="00DC5F78" w:rsidRDefault="00B2599D" w:rsidP="006A48D0">
      <w:pPr>
        <w:rPr>
          <w:bCs/>
        </w:rPr>
      </w:pPr>
      <w:r w:rsidRPr="008D41D9">
        <w:rPr>
          <w:lang w:val="en-US"/>
        </w:rPr>
        <w:t xml:space="preserve">27. </w:t>
      </w:r>
      <w:proofErr w:type="spellStart"/>
      <w:r w:rsidRPr="008D41D9">
        <w:rPr>
          <w:lang w:val="en-US"/>
        </w:rPr>
        <w:t>Programa</w:t>
      </w:r>
      <w:proofErr w:type="spellEnd"/>
      <w:r w:rsidRPr="008D41D9">
        <w:rPr>
          <w:lang w:val="en-US"/>
        </w:rPr>
        <w:t xml:space="preserve"> </w:t>
      </w:r>
      <w:proofErr w:type="spellStart"/>
      <w:r w:rsidRPr="008D41D9">
        <w:rPr>
          <w:lang w:val="en-US"/>
        </w:rPr>
        <w:t>conjunto</w:t>
      </w:r>
      <w:proofErr w:type="spellEnd"/>
      <w:r w:rsidRPr="008D41D9">
        <w:rPr>
          <w:lang w:val="en-US"/>
        </w:rPr>
        <w:t xml:space="preserve"> de </w:t>
      </w:r>
      <w:proofErr w:type="spellStart"/>
      <w:r w:rsidRPr="008D41D9">
        <w:rPr>
          <w:lang w:val="en-US"/>
        </w:rPr>
        <w:t>las</w:t>
      </w:r>
      <w:proofErr w:type="spellEnd"/>
      <w:r w:rsidRPr="008D41D9">
        <w:rPr>
          <w:lang w:val="en-US"/>
        </w:rPr>
        <w:t xml:space="preserve"> </w:t>
      </w:r>
      <w:proofErr w:type="spellStart"/>
      <w:r w:rsidRPr="008D41D9">
        <w:rPr>
          <w:lang w:val="en-US"/>
        </w:rPr>
        <w:t>Naciones</w:t>
      </w:r>
      <w:proofErr w:type="spellEnd"/>
      <w:r w:rsidRPr="008D41D9">
        <w:rPr>
          <w:lang w:val="en-US"/>
        </w:rPr>
        <w:t xml:space="preserve"> </w:t>
      </w:r>
      <w:proofErr w:type="spellStart"/>
      <w:r w:rsidRPr="008D41D9">
        <w:rPr>
          <w:lang w:val="en-US"/>
        </w:rPr>
        <w:t>Unidas</w:t>
      </w:r>
      <w:proofErr w:type="spellEnd"/>
      <w:r w:rsidRPr="008D41D9">
        <w:rPr>
          <w:lang w:val="en-US"/>
        </w:rPr>
        <w:t xml:space="preserve"> </w:t>
      </w:r>
      <w:proofErr w:type="spellStart"/>
      <w:r w:rsidRPr="008D41D9">
        <w:rPr>
          <w:lang w:val="en-US"/>
        </w:rPr>
        <w:t>sobre</w:t>
      </w:r>
      <w:proofErr w:type="spellEnd"/>
      <w:r w:rsidRPr="008D41D9">
        <w:rPr>
          <w:lang w:val="en-US"/>
        </w:rPr>
        <w:t xml:space="preserve"> el VIH/SIDA (ONUSIDA). </w:t>
      </w:r>
      <w:proofErr w:type="spellStart"/>
      <w:proofErr w:type="gramStart"/>
      <w:r w:rsidRPr="008D41D9">
        <w:rPr>
          <w:lang w:val="en-US"/>
        </w:rPr>
        <w:t>Informe</w:t>
      </w:r>
      <w:proofErr w:type="spellEnd"/>
      <w:r w:rsidRPr="008D41D9">
        <w:rPr>
          <w:lang w:val="en-US"/>
        </w:rPr>
        <w:t xml:space="preserve"> de ONUSIDA </w:t>
      </w:r>
      <w:proofErr w:type="spellStart"/>
      <w:r w:rsidRPr="008D41D9">
        <w:rPr>
          <w:lang w:val="en-US"/>
        </w:rPr>
        <w:t>sobre</w:t>
      </w:r>
      <w:proofErr w:type="spellEnd"/>
      <w:r w:rsidRPr="008D41D9">
        <w:rPr>
          <w:lang w:val="en-US"/>
        </w:rPr>
        <w:t xml:space="preserve"> la </w:t>
      </w:r>
      <w:proofErr w:type="spellStart"/>
      <w:r w:rsidRPr="008D41D9">
        <w:rPr>
          <w:lang w:val="en-US"/>
        </w:rPr>
        <w:t>epidemia</w:t>
      </w:r>
      <w:proofErr w:type="spellEnd"/>
      <w:r w:rsidRPr="008D41D9">
        <w:rPr>
          <w:lang w:val="en-US"/>
        </w:rPr>
        <w:t xml:space="preserve"> </w:t>
      </w:r>
      <w:proofErr w:type="spellStart"/>
      <w:r w:rsidRPr="008D41D9">
        <w:rPr>
          <w:lang w:val="en-US"/>
        </w:rPr>
        <w:t>mundial</w:t>
      </w:r>
      <w:proofErr w:type="spellEnd"/>
      <w:r w:rsidRPr="008D41D9">
        <w:rPr>
          <w:lang w:val="en-US"/>
        </w:rPr>
        <w:t xml:space="preserve"> </w:t>
      </w:r>
      <w:r>
        <w:t>de SIDA 2012.</w:t>
      </w:r>
      <w:proofErr w:type="gramEnd"/>
      <w:r>
        <w:t xml:space="preserve"> Programa conjunto de las Naciones Unidas sobre el VIH/SIDA. </w:t>
      </w:r>
      <w:r w:rsidR="004453DA" w:rsidRPr="004B430A">
        <w:rPr>
          <w:bCs/>
        </w:rPr>
        <w:t>[Internet]</w:t>
      </w:r>
      <w:r w:rsidR="004453DA" w:rsidRPr="004453DA">
        <w:t xml:space="preserve"> </w:t>
      </w:r>
      <w:r w:rsidR="004453DA">
        <w:t xml:space="preserve">2012 </w:t>
      </w:r>
      <w:r w:rsidR="004453DA" w:rsidRPr="004B430A">
        <w:rPr>
          <w:bCs/>
        </w:rPr>
        <w:t>[citado 1</w:t>
      </w:r>
      <w:r w:rsidR="004453DA">
        <w:rPr>
          <w:bCs/>
        </w:rPr>
        <w:t>5</w:t>
      </w:r>
      <w:r w:rsidR="004453DA" w:rsidRPr="004B430A">
        <w:rPr>
          <w:bCs/>
        </w:rPr>
        <w:t xml:space="preserve"> Ene 2013]</w:t>
      </w:r>
      <w:r w:rsidR="004453DA">
        <w:rPr>
          <w:bCs/>
        </w:rPr>
        <w:t xml:space="preserve">. Disponible en: </w:t>
      </w:r>
      <w:r w:rsidR="004453DA" w:rsidRPr="004453DA">
        <w:rPr>
          <w:bCs/>
        </w:rPr>
        <w:t>http://www.unaids.org/en/dataanalysis/knowyourepidemic/</w:t>
      </w:r>
      <w:r w:rsidR="008D41D9">
        <w:rPr>
          <w:bCs/>
        </w:rPr>
        <w:t>.</w:t>
      </w:r>
    </w:p>
    <w:p w:rsidR="00E357EB" w:rsidRDefault="004453DA" w:rsidP="006A48D0">
      <w:r w:rsidRPr="00DB3820">
        <w:rPr>
          <w:lang w:val="en-US"/>
        </w:rPr>
        <w:t xml:space="preserve">28. </w:t>
      </w:r>
      <w:r w:rsidR="00754588" w:rsidRPr="00DB3820">
        <w:rPr>
          <w:lang w:val="en-US"/>
        </w:rPr>
        <w:t xml:space="preserve">World hepatitis Allianz. </w:t>
      </w:r>
      <w:r w:rsidR="00D64B32" w:rsidRPr="00DB3820">
        <w:rPr>
          <w:lang w:val="en-US"/>
        </w:rPr>
        <w:t>Viral hepatitis: Global policy</w:t>
      </w:r>
      <w:r w:rsidR="00754588" w:rsidRPr="00DB3820">
        <w:rPr>
          <w:lang w:val="en-US"/>
        </w:rPr>
        <w:t xml:space="preserve">. </w:t>
      </w:r>
      <w:proofErr w:type="spellStart"/>
      <w:r w:rsidR="00754588" w:rsidRPr="00EF0654">
        <w:t>World</w:t>
      </w:r>
      <w:proofErr w:type="spellEnd"/>
      <w:r w:rsidR="00754588" w:rsidRPr="00EF0654">
        <w:t xml:space="preserve"> hepatitis Allianz</w:t>
      </w:r>
      <w:r w:rsidR="00EF0654" w:rsidRPr="00EF0654">
        <w:t>.</w:t>
      </w:r>
      <w:r w:rsidR="00EF0654">
        <w:t xml:space="preserve"> </w:t>
      </w:r>
      <w:r w:rsidR="00EF0654" w:rsidRPr="004B430A">
        <w:t>[Internet]</w:t>
      </w:r>
      <w:r w:rsidR="00EF0654">
        <w:t xml:space="preserve"> </w:t>
      </w:r>
      <w:r w:rsidR="00EF0654" w:rsidRPr="004453DA">
        <w:t xml:space="preserve"> </w:t>
      </w:r>
      <w:r w:rsidR="00EF0654" w:rsidRPr="004B430A">
        <w:t>[</w:t>
      </w:r>
      <w:r w:rsidR="00EF0654">
        <w:t>C</w:t>
      </w:r>
      <w:r w:rsidR="00EF0654" w:rsidRPr="004B430A">
        <w:t>itado 1</w:t>
      </w:r>
      <w:r w:rsidR="00EF0654">
        <w:t>5</w:t>
      </w:r>
      <w:r w:rsidR="00EF0654" w:rsidRPr="004B430A">
        <w:t xml:space="preserve"> Ene 2013]</w:t>
      </w:r>
      <w:r w:rsidR="00EF0654">
        <w:t xml:space="preserve"> </w:t>
      </w:r>
      <w:r w:rsidR="00D64B32" w:rsidRPr="00EF0654">
        <w:t>Disponible en</w:t>
      </w:r>
      <w:proofErr w:type="gramStart"/>
      <w:r w:rsidR="00D64B32" w:rsidRPr="00EF0654">
        <w:t xml:space="preserve">: </w:t>
      </w:r>
      <w:r w:rsidR="00EF0654">
        <w:t xml:space="preserve"> </w:t>
      </w:r>
      <w:r w:rsidR="00EF0654" w:rsidRPr="00EF0654">
        <w:t>http</w:t>
      </w:r>
      <w:proofErr w:type="gramEnd"/>
      <w:r w:rsidR="00EF0654" w:rsidRPr="00EF0654">
        <w:t>://www.worldhepatitisalliance.o</w:t>
      </w:r>
      <w:r w:rsidR="008D41D9">
        <w:t>rg/Policy/2010PolicyReport.aspx.</w:t>
      </w:r>
    </w:p>
    <w:p w:rsidR="00E357EB" w:rsidRDefault="00EF0654" w:rsidP="006A48D0">
      <w:pPr>
        <w:rPr>
          <w:lang w:val="en-US"/>
        </w:rPr>
      </w:pPr>
      <w:r w:rsidRPr="00657E74">
        <w:rPr>
          <w:lang w:val="en-US"/>
        </w:rPr>
        <w:t>29. Strauss E, Dias M.</w:t>
      </w:r>
      <w:r w:rsidR="00657E74" w:rsidRPr="00657E74">
        <w:rPr>
          <w:lang w:val="en-US"/>
        </w:rPr>
        <w:t xml:space="preserve"> Quality of life in hepatitis C. </w:t>
      </w:r>
      <w:r w:rsidR="00657E74">
        <w:rPr>
          <w:lang w:val="en-US"/>
        </w:rPr>
        <w:t>Liver International. 2006; 26(7): 755-765</w:t>
      </w:r>
      <w:r w:rsidR="008D41D9">
        <w:rPr>
          <w:lang w:val="en-US"/>
        </w:rPr>
        <w:t>.</w:t>
      </w:r>
    </w:p>
    <w:p w:rsidR="00E357EB" w:rsidRDefault="00DC18C9" w:rsidP="006A48D0">
      <w:r>
        <w:rPr>
          <w:lang w:val="en-US"/>
        </w:rPr>
        <w:t xml:space="preserve">30. World health organization. </w:t>
      </w:r>
      <w:proofErr w:type="gramStart"/>
      <w:r>
        <w:rPr>
          <w:lang w:val="en-US"/>
        </w:rPr>
        <w:t>Sustaining the drive to overcome the global impact of neglected tropical diseases.</w:t>
      </w:r>
      <w:proofErr w:type="gramEnd"/>
      <w:r>
        <w:rPr>
          <w:lang w:val="en-US"/>
        </w:rPr>
        <w:t xml:space="preserve"> Second WHO report on neglected tropical </w:t>
      </w:r>
      <w:proofErr w:type="gramStart"/>
      <w:r>
        <w:rPr>
          <w:lang w:val="en-US"/>
        </w:rPr>
        <w:t>diseases.</w:t>
      </w:r>
      <w:proofErr w:type="gramEnd"/>
      <w:r>
        <w:rPr>
          <w:lang w:val="en-US"/>
        </w:rPr>
        <w:t xml:space="preserve">  </w:t>
      </w:r>
      <w:r w:rsidRPr="00DB3820">
        <w:rPr>
          <w:lang w:val="en-US"/>
        </w:rPr>
        <w:t>World health organization [Internet</w:t>
      </w:r>
      <w:proofErr w:type="gramStart"/>
      <w:r w:rsidRPr="00DB3820">
        <w:rPr>
          <w:lang w:val="en-US"/>
        </w:rPr>
        <w:t>]  2013</w:t>
      </w:r>
      <w:proofErr w:type="gramEnd"/>
      <w:r w:rsidRPr="00DB3820">
        <w:rPr>
          <w:lang w:val="en-US"/>
        </w:rPr>
        <w:t xml:space="preserve">. </w:t>
      </w:r>
      <w:r w:rsidRPr="004B430A">
        <w:t>[</w:t>
      </w:r>
      <w:r>
        <w:t>Citado 25</w:t>
      </w:r>
      <w:r w:rsidRPr="004B430A">
        <w:t xml:space="preserve"> </w:t>
      </w:r>
      <w:r>
        <w:t>feb</w:t>
      </w:r>
      <w:r w:rsidRPr="004B430A">
        <w:t xml:space="preserve"> 2013]</w:t>
      </w:r>
      <w:r>
        <w:t xml:space="preserve">. </w:t>
      </w:r>
      <w:r w:rsidRPr="00DB3820">
        <w:t xml:space="preserve">Disponible en: </w:t>
      </w:r>
      <w:r w:rsidR="004513E8" w:rsidRPr="00DB3820">
        <w:t>http://www.who.int/neglected_diseases/en/</w:t>
      </w:r>
      <w:r w:rsidR="008D41D9">
        <w:t>.</w:t>
      </w:r>
    </w:p>
    <w:p w:rsidR="00E357EB" w:rsidRDefault="004513E8" w:rsidP="006A48D0">
      <w:r w:rsidRPr="00DB3820">
        <w:t xml:space="preserve">31. </w:t>
      </w:r>
      <w:proofErr w:type="spellStart"/>
      <w:r w:rsidRPr="00DB3820">
        <w:t>Braken</w:t>
      </w:r>
      <w:proofErr w:type="spellEnd"/>
      <w:r w:rsidRPr="00DB3820">
        <w:t xml:space="preserve"> W, </w:t>
      </w:r>
      <w:proofErr w:type="spellStart"/>
      <w:r w:rsidRPr="00DB3820">
        <w:t>Sihombing</w:t>
      </w:r>
      <w:proofErr w:type="spellEnd"/>
      <w:r w:rsidRPr="00DB3820">
        <w:t xml:space="preserve"> B, </w:t>
      </w:r>
      <w:proofErr w:type="spellStart"/>
      <w:r w:rsidRPr="00DB3820">
        <w:t>Djarir</w:t>
      </w:r>
      <w:proofErr w:type="spellEnd"/>
      <w:r w:rsidRPr="00DB3820">
        <w:t xml:space="preserve"> H, </w:t>
      </w:r>
      <w:proofErr w:type="spellStart"/>
      <w:r w:rsidRPr="00DB3820">
        <w:t>Beise</w:t>
      </w:r>
      <w:proofErr w:type="spellEnd"/>
      <w:r w:rsidRPr="00DB3820">
        <w:t xml:space="preserve"> K, </w:t>
      </w:r>
      <w:proofErr w:type="spellStart"/>
      <w:r w:rsidRPr="00DB3820">
        <w:t>Kusumawardhani</w:t>
      </w:r>
      <w:proofErr w:type="spellEnd"/>
      <w:r w:rsidRPr="00DB3820">
        <w:t xml:space="preserve"> L, </w:t>
      </w:r>
      <w:proofErr w:type="spellStart"/>
      <w:r w:rsidRPr="00DB3820">
        <w:t>Yulihane</w:t>
      </w:r>
      <w:proofErr w:type="spellEnd"/>
      <w:r w:rsidRPr="00DB3820">
        <w:t xml:space="preserve"> R. et al. </w:t>
      </w:r>
      <w:r w:rsidRPr="004513E8">
        <w:rPr>
          <w:lang w:val="en-US"/>
        </w:rPr>
        <w:t>Disability in people affe</w:t>
      </w:r>
      <w:r>
        <w:rPr>
          <w:lang w:val="en-US"/>
        </w:rPr>
        <w:t>c</w:t>
      </w:r>
      <w:r w:rsidRPr="004513E8">
        <w:rPr>
          <w:lang w:val="en-US"/>
        </w:rPr>
        <w:t xml:space="preserve">ted by leprosy: the role of impairment, </w:t>
      </w:r>
      <w:r>
        <w:rPr>
          <w:lang w:val="en-US"/>
        </w:rPr>
        <w:t xml:space="preserve">activity, social participation, stigma and discrimination. </w:t>
      </w:r>
      <w:proofErr w:type="spellStart"/>
      <w:r w:rsidRPr="008207FC">
        <w:t>Glob</w:t>
      </w:r>
      <w:proofErr w:type="spellEnd"/>
      <w:r w:rsidRPr="008207FC">
        <w:t xml:space="preserve"> </w:t>
      </w:r>
      <w:proofErr w:type="spellStart"/>
      <w:r w:rsidRPr="008207FC">
        <w:t>Health</w:t>
      </w:r>
      <w:proofErr w:type="spellEnd"/>
      <w:r w:rsidRPr="008207FC">
        <w:t xml:space="preserve"> Action</w:t>
      </w:r>
      <w:r w:rsidR="00225F59">
        <w:t>.</w:t>
      </w:r>
      <w:r w:rsidR="008207FC">
        <w:t xml:space="preserve"> 2012</w:t>
      </w:r>
      <w:r w:rsidR="00225F59">
        <w:t xml:space="preserve">; </w:t>
      </w:r>
      <w:r w:rsidR="008207FC">
        <w:t>5</w:t>
      </w:r>
      <w:r w:rsidR="008D41D9">
        <w:t>.</w:t>
      </w:r>
    </w:p>
    <w:p w:rsidR="00E357EB" w:rsidRDefault="00D27C57" w:rsidP="006A48D0">
      <w:pPr>
        <w:rPr>
          <w:bCs/>
        </w:rPr>
      </w:pPr>
      <w:r w:rsidRPr="00D27C57">
        <w:t xml:space="preserve">32. </w:t>
      </w:r>
      <w:r w:rsidR="008207FC">
        <w:t xml:space="preserve">Pan American </w:t>
      </w:r>
      <w:proofErr w:type="spellStart"/>
      <w:r w:rsidR="008207FC">
        <w:t>Health</w:t>
      </w:r>
      <w:proofErr w:type="spellEnd"/>
      <w:r w:rsidR="008207FC">
        <w:t xml:space="preserve"> </w:t>
      </w:r>
      <w:proofErr w:type="spellStart"/>
      <w:r w:rsidR="008207FC">
        <w:t>Organization</w:t>
      </w:r>
      <w:proofErr w:type="spellEnd"/>
      <w:r w:rsidR="008207FC">
        <w:t xml:space="preserve">. Revisión de la literatura disponible como soporte para el desarrollo de una guía para Latinoamérica y el Caribe, 2010. Documento de trabajo. Pan American </w:t>
      </w:r>
      <w:proofErr w:type="spellStart"/>
      <w:r w:rsidR="008207FC">
        <w:t>Health</w:t>
      </w:r>
      <w:proofErr w:type="spellEnd"/>
      <w:r w:rsidR="008207FC">
        <w:t xml:space="preserve"> </w:t>
      </w:r>
      <w:proofErr w:type="spellStart"/>
      <w:r w:rsidR="008207FC">
        <w:t>Organization</w:t>
      </w:r>
      <w:proofErr w:type="spellEnd"/>
      <w:r w:rsidR="008207FC">
        <w:t xml:space="preserve">. </w:t>
      </w:r>
      <w:r w:rsidR="008207FC" w:rsidRPr="00DC18C9">
        <w:rPr>
          <w:bCs/>
        </w:rPr>
        <w:t>[Internet]</w:t>
      </w:r>
      <w:r w:rsidR="008207FC">
        <w:rPr>
          <w:bCs/>
        </w:rPr>
        <w:t xml:space="preserve">  2010 </w:t>
      </w:r>
      <w:r w:rsidR="008207FC" w:rsidRPr="004B430A">
        <w:rPr>
          <w:bCs/>
        </w:rPr>
        <w:t>[</w:t>
      </w:r>
      <w:r w:rsidR="008207FC">
        <w:rPr>
          <w:bCs/>
        </w:rPr>
        <w:t>Citado 25</w:t>
      </w:r>
      <w:r w:rsidR="008207FC" w:rsidRPr="004B430A">
        <w:rPr>
          <w:bCs/>
        </w:rPr>
        <w:t xml:space="preserve"> </w:t>
      </w:r>
      <w:r w:rsidR="008207FC">
        <w:rPr>
          <w:bCs/>
        </w:rPr>
        <w:t>feb</w:t>
      </w:r>
      <w:r w:rsidR="008207FC" w:rsidRPr="004B430A">
        <w:rPr>
          <w:bCs/>
        </w:rPr>
        <w:t xml:space="preserve"> 2013]</w:t>
      </w:r>
      <w:r w:rsidR="008207FC">
        <w:rPr>
          <w:bCs/>
        </w:rPr>
        <w:t xml:space="preserve"> Disponible en: </w:t>
      </w:r>
      <w:r w:rsidR="008207FC" w:rsidRPr="008207FC">
        <w:rPr>
          <w:bCs/>
        </w:rPr>
        <w:t>http://www2.paho.org/hq/dmdocuments/2011</w:t>
      </w:r>
      <w:r w:rsidR="008207FC">
        <w:rPr>
          <w:bCs/>
        </w:rPr>
        <w:t xml:space="preserve"> </w:t>
      </w:r>
      <w:r w:rsidR="008207FC" w:rsidRPr="008207FC">
        <w:rPr>
          <w:bCs/>
        </w:rPr>
        <w:t>/EID%20revision%20bibliografica%20OCT%202010%20%282%29.pdf</w:t>
      </w:r>
      <w:r w:rsidR="008D41D9">
        <w:rPr>
          <w:bCs/>
        </w:rPr>
        <w:t>.</w:t>
      </w:r>
    </w:p>
    <w:p w:rsidR="00E357EB" w:rsidRDefault="00DA7178" w:rsidP="006A48D0">
      <w:r w:rsidRPr="00DA7178">
        <w:rPr>
          <w:bCs/>
          <w:lang w:val="en-US"/>
        </w:rPr>
        <w:lastRenderedPageBreak/>
        <w:t xml:space="preserve">33. </w:t>
      </w:r>
      <w:proofErr w:type="spellStart"/>
      <w:r w:rsidRPr="00DA7178">
        <w:rPr>
          <w:lang w:val="en-US"/>
        </w:rPr>
        <w:t>Lorece</w:t>
      </w:r>
      <w:proofErr w:type="spellEnd"/>
      <w:r w:rsidRPr="00DA7178">
        <w:rPr>
          <w:lang w:val="en-US"/>
        </w:rPr>
        <w:t xml:space="preserve"> E. Perceived social support and </w:t>
      </w:r>
      <w:proofErr w:type="spellStart"/>
      <w:r w:rsidRPr="00DA7178">
        <w:rPr>
          <w:lang w:val="en-US"/>
        </w:rPr>
        <w:t>hiv</w:t>
      </w:r>
      <w:proofErr w:type="spellEnd"/>
      <w:r w:rsidRPr="00DA7178">
        <w:rPr>
          <w:lang w:val="en-US"/>
        </w:rPr>
        <w:t>/aids medication adherence among</w:t>
      </w:r>
      <w:r>
        <w:rPr>
          <w:lang w:val="en-US"/>
        </w:rPr>
        <w:t xml:space="preserve"> African </w:t>
      </w:r>
      <w:proofErr w:type="spellStart"/>
      <w:proofErr w:type="gramStart"/>
      <w:r w:rsidRPr="00DA7178">
        <w:rPr>
          <w:lang w:val="en-US"/>
        </w:rPr>
        <w:t>american</w:t>
      </w:r>
      <w:proofErr w:type="spellEnd"/>
      <w:proofErr w:type="gramEnd"/>
      <w:r w:rsidRPr="00DA7178">
        <w:rPr>
          <w:lang w:val="en-US"/>
        </w:rPr>
        <w:t xml:space="preserve"> women. </w:t>
      </w:r>
      <w:proofErr w:type="spellStart"/>
      <w:r w:rsidRPr="00737704">
        <w:rPr>
          <w:iCs/>
        </w:rPr>
        <w:t>Qualitative</w:t>
      </w:r>
      <w:proofErr w:type="spellEnd"/>
      <w:r w:rsidRPr="00737704">
        <w:rPr>
          <w:iCs/>
        </w:rPr>
        <w:t xml:space="preserve"> </w:t>
      </w:r>
      <w:proofErr w:type="spellStart"/>
      <w:r w:rsidRPr="00737704">
        <w:rPr>
          <w:iCs/>
        </w:rPr>
        <w:t>health</w:t>
      </w:r>
      <w:proofErr w:type="spellEnd"/>
      <w:r w:rsidRPr="00737704">
        <w:rPr>
          <w:iCs/>
        </w:rPr>
        <w:t xml:space="preserve"> </w:t>
      </w:r>
      <w:proofErr w:type="spellStart"/>
      <w:r w:rsidRPr="00737704">
        <w:rPr>
          <w:iCs/>
        </w:rPr>
        <w:t>research</w:t>
      </w:r>
      <w:proofErr w:type="spellEnd"/>
      <w:r w:rsidRPr="00737704">
        <w:rPr>
          <w:i/>
          <w:iCs/>
        </w:rPr>
        <w:t xml:space="preserve"> </w:t>
      </w:r>
      <w:r w:rsidRPr="00737704">
        <w:t>2006; 16(5):679-691.</w:t>
      </w:r>
    </w:p>
    <w:p w:rsidR="00E357EB" w:rsidRDefault="00737704" w:rsidP="006A48D0">
      <w:pPr>
        <w:rPr>
          <w:lang w:val="en-US"/>
        </w:rPr>
      </w:pPr>
      <w:r w:rsidRPr="00737704">
        <w:t>34.</w:t>
      </w:r>
      <w:r w:rsidRPr="00737704">
        <w:rPr>
          <w:b/>
        </w:rPr>
        <w:t xml:space="preserve"> </w:t>
      </w:r>
      <w:r w:rsidRPr="0066080D">
        <w:t xml:space="preserve">Alonso J. La medida de la calidad de vida relacionada con la salud en la investigación y la práctica clínica. </w:t>
      </w:r>
      <w:proofErr w:type="spellStart"/>
      <w:r w:rsidRPr="0066080D">
        <w:rPr>
          <w:lang w:val="en-US"/>
        </w:rPr>
        <w:t>Gac</w:t>
      </w:r>
      <w:proofErr w:type="spellEnd"/>
      <w:r w:rsidRPr="0066080D">
        <w:rPr>
          <w:lang w:val="en-US"/>
        </w:rPr>
        <w:t xml:space="preserve"> sanit. 2000; 14(2): 163-167</w:t>
      </w:r>
      <w:r>
        <w:rPr>
          <w:lang w:val="en-US"/>
        </w:rPr>
        <w:t>.</w:t>
      </w:r>
    </w:p>
    <w:p w:rsidR="00E357EB" w:rsidRDefault="00737704" w:rsidP="006A48D0">
      <w:pPr>
        <w:rPr>
          <w:lang w:val="en-US"/>
        </w:rPr>
      </w:pPr>
      <w:r w:rsidRPr="00940CC4">
        <w:rPr>
          <w:lang w:val="en-US"/>
        </w:rPr>
        <w:t xml:space="preserve">35. </w:t>
      </w:r>
      <w:proofErr w:type="spellStart"/>
      <w:r w:rsidRPr="00940CC4">
        <w:rPr>
          <w:lang w:val="en-US"/>
        </w:rPr>
        <w:t>Velarde</w:t>
      </w:r>
      <w:proofErr w:type="spellEnd"/>
      <w:r w:rsidRPr="00940CC4">
        <w:rPr>
          <w:lang w:val="en-US"/>
        </w:rPr>
        <w:t xml:space="preserve"> E, Avila C. </w:t>
      </w:r>
      <w:proofErr w:type="spellStart"/>
      <w:r w:rsidRPr="00940CC4">
        <w:rPr>
          <w:lang w:val="en-US"/>
        </w:rPr>
        <w:t>Consideraciones</w:t>
      </w:r>
      <w:proofErr w:type="spellEnd"/>
      <w:r w:rsidRPr="00940CC4">
        <w:rPr>
          <w:lang w:val="en-US"/>
        </w:rPr>
        <w:t xml:space="preserve"> </w:t>
      </w:r>
      <w:proofErr w:type="spellStart"/>
      <w:r w:rsidRPr="00940CC4">
        <w:rPr>
          <w:lang w:val="en-US"/>
        </w:rPr>
        <w:t>metodológicas</w:t>
      </w:r>
      <w:proofErr w:type="spellEnd"/>
      <w:r w:rsidRPr="00940CC4">
        <w:rPr>
          <w:lang w:val="en-US"/>
        </w:rPr>
        <w:t xml:space="preserve"> </w:t>
      </w:r>
      <w:proofErr w:type="spellStart"/>
      <w:r w:rsidRPr="00940CC4">
        <w:rPr>
          <w:lang w:val="en-US"/>
        </w:rPr>
        <w:t>para</w:t>
      </w:r>
      <w:proofErr w:type="spellEnd"/>
      <w:r w:rsidRPr="00940CC4">
        <w:rPr>
          <w:lang w:val="en-US"/>
        </w:rPr>
        <w:t xml:space="preserve"> </w:t>
      </w:r>
      <w:proofErr w:type="spellStart"/>
      <w:r w:rsidRPr="00940CC4">
        <w:rPr>
          <w:lang w:val="en-US"/>
        </w:rPr>
        <w:t>evaluar</w:t>
      </w:r>
      <w:proofErr w:type="spellEnd"/>
      <w:r w:rsidRPr="00940CC4">
        <w:rPr>
          <w:lang w:val="en-US"/>
        </w:rPr>
        <w:t xml:space="preserve"> la </w:t>
      </w:r>
      <w:proofErr w:type="spellStart"/>
      <w:r w:rsidRPr="00940CC4">
        <w:rPr>
          <w:lang w:val="en-US"/>
        </w:rPr>
        <w:t>calidad</w:t>
      </w:r>
      <w:proofErr w:type="spellEnd"/>
      <w:r w:rsidRPr="00940CC4">
        <w:rPr>
          <w:lang w:val="en-US"/>
        </w:rPr>
        <w:t xml:space="preserve"> de </w:t>
      </w:r>
      <w:proofErr w:type="spellStart"/>
      <w:r w:rsidRPr="00940CC4">
        <w:rPr>
          <w:lang w:val="en-US"/>
        </w:rPr>
        <w:t>vida</w:t>
      </w:r>
      <w:proofErr w:type="spellEnd"/>
      <w:r w:rsidRPr="00940CC4">
        <w:rPr>
          <w:lang w:val="en-US"/>
        </w:rPr>
        <w:t xml:space="preserve">. </w:t>
      </w:r>
      <w:proofErr w:type="spellStart"/>
      <w:proofErr w:type="gramStart"/>
      <w:r w:rsidRPr="004A1899">
        <w:rPr>
          <w:lang w:val="en-US"/>
        </w:rPr>
        <w:t>Salud</w:t>
      </w:r>
      <w:proofErr w:type="spellEnd"/>
      <w:r w:rsidRPr="004A1899">
        <w:rPr>
          <w:lang w:val="en-US"/>
        </w:rPr>
        <w:t xml:space="preserve"> </w:t>
      </w:r>
      <w:proofErr w:type="spellStart"/>
      <w:r w:rsidRPr="004A1899">
        <w:rPr>
          <w:lang w:val="en-US"/>
        </w:rPr>
        <w:t>Pública</w:t>
      </w:r>
      <w:proofErr w:type="spellEnd"/>
      <w:r w:rsidRPr="004A1899">
        <w:rPr>
          <w:lang w:val="en-US"/>
        </w:rPr>
        <w:t xml:space="preserve"> Mex. 2002; 44: 448-463.</w:t>
      </w:r>
      <w:proofErr w:type="gramEnd"/>
    </w:p>
    <w:p w:rsidR="00E357EB" w:rsidRDefault="00737704" w:rsidP="006A48D0">
      <w:r>
        <w:rPr>
          <w:lang w:val="en-US"/>
        </w:rPr>
        <w:t xml:space="preserve">36. </w:t>
      </w:r>
      <w:r w:rsidRPr="004A1899">
        <w:rPr>
          <w:lang w:val="en-US"/>
        </w:rPr>
        <w:t xml:space="preserve">Chen T. Li L, </w:t>
      </w:r>
      <w:proofErr w:type="spellStart"/>
      <w:r w:rsidRPr="004A1899">
        <w:rPr>
          <w:lang w:val="en-US"/>
        </w:rPr>
        <w:t>Kochen</w:t>
      </w:r>
      <w:proofErr w:type="spellEnd"/>
      <w:r w:rsidRPr="004A1899">
        <w:rPr>
          <w:lang w:val="en-US"/>
        </w:rPr>
        <w:t xml:space="preserve"> M. </w:t>
      </w:r>
      <w:r w:rsidRPr="0066080D">
        <w:rPr>
          <w:lang w:val="en-US"/>
        </w:rPr>
        <w:t xml:space="preserve">A systematic review: How to choose appropriate health-related quality of life (HRQOL) measures in routine general practice? </w:t>
      </w:r>
      <w:proofErr w:type="spellStart"/>
      <w:r w:rsidRPr="00DB3820">
        <w:t>Journal</w:t>
      </w:r>
      <w:proofErr w:type="spellEnd"/>
      <w:r w:rsidRPr="00DB3820">
        <w:t xml:space="preserve"> of Zhejiang </w:t>
      </w:r>
      <w:proofErr w:type="spellStart"/>
      <w:r w:rsidRPr="00DB3820">
        <w:t>university</w:t>
      </w:r>
      <w:proofErr w:type="spellEnd"/>
      <w:r w:rsidRPr="00DB3820">
        <w:t xml:space="preserve"> </w:t>
      </w:r>
      <w:proofErr w:type="spellStart"/>
      <w:r w:rsidRPr="00DB3820">
        <w:t>science</w:t>
      </w:r>
      <w:proofErr w:type="spellEnd"/>
      <w:r w:rsidRPr="00DB3820">
        <w:t>. 2005; 6B (9): 936-940.</w:t>
      </w:r>
    </w:p>
    <w:p w:rsidR="00E357EB" w:rsidRDefault="00E357EB"/>
    <w:p w:rsidR="00E357EB" w:rsidRDefault="00550EE7">
      <w:r>
        <w:br w:type="page"/>
      </w:r>
    </w:p>
    <w:p w:rsidR="006D0572" w:rsidRPr="00225F59" w:rsidRDefault="006D0572" w:rsidP="00E61731">
      <w:pPr>
        <w:rPr>
          <w:b/>
        </w:rPr>
      </w:pPr>
      <w:r w:rsidRPr="00225F59">
        <w:rPr>
          <w:b/>
        </w:rPr>
        <w:lastRenderedPageBreak/>
        <w:t>TABLAS.</w:t>
      </w:r>
    </w:p>
    <w:p w:rsidR="006C3099" w:rsidRPr="00225F59" w:rsidRDefault="006D0572" w:rsidP="00E61731">
      <w:pPr>
        <w:rPr>
          <w:b/>
        </w:rPr>
      </w:pPr>
      <w:r w:rsidRPr="00225F59">
        <w:rPr>
          <w:b/>
        </w:rPr>
        <w:t xml:space="preserve">Tabla 1. </w:t>
      </w:r>
      <w:r w:rsidR="00565017" w:rsidRPr="00225F59">
        <w:rPr>
          <w:b/>
        </w:rPr>
        <w:t>Caracterización de los estudios</w:t>
      </w:r>
      <w:r w:rsidRPr="00225F59">
        <w:rPr>
          <w:b/>
        </w:rPr>
        <w:t>.</w:t>
      </w:r>
    </w:p>
    <w:tbl>
      <w:tblPr>
        <w:tblStyle w:val="Tablaconcuadrcula"/>
        <w:tblW w:w="5000" w:type="pct"/>
        <w:tblLook w:val="04A0" w:firstRow="1" w:lastRow="0" w:firstColumn="1" w:lastColumn="0" w:noHBand="0" w:noVBand="1"/>
      </w:tblPr>
      <w:tblGrid>
        <w:gridCol w:w="1715"/>
        <w:gridCol w:w="750"/>
        <w:gridCol w:w="1484"/>
        <w:gridCol w:w="2491"/>
        <w:gridCol w:w="922"/>
        <w:gridCol w:w="1924"/>
      </w:tblGrid>
      <w:tr w:rsidR="004D1170" w:rsidRPr="006D0572" w:rsidTr="00550EE7">
        <w:trPr>
          <w:trHeight w:val="302"/>
        </w:trPr>
        <w:tc>
          <w:tcPr>
            <w:tcW w:w="894" w:type="pct"/>
            <w:vMerge w:val="restart"/>
            <w:noWrap/>
            <w:vAlign w:val="center"/>
            <w:hideMark/>
          </w:tcPr>
          <w:p w:rsidR="00E753E8" w:rsidRPr="00225F59" w:rsidRDefault="00E753E8" w:rsidP="006A48D0">
            <w:pPr>
              <w:jc w:val="left"/>
              <w:rPr>
                <w:rFonts w:eastAsia="Times New Roman"/>
                <w:b/>
              </w:rPr>
            </w:pPr>
            <w:r w:rsidRPr="00225F59">
              <w:rPr>
                <w:rFonts w:eastAsia="Times New Roman"/>
                <w:b/>
              </w:rPr>
              <w:t>Autor</w:t>
            </w:r>
          </w:p>
        </w:tc>
        <w:tc>
          <w:tcPr>
            <w:tcW w:w="404" w:type="pct"/>
            <w:vMerge w:val="restart"/>
            <w:noWrap/>
            <w:vAlign w:val="center"/>
            <w:hideMark/>
          </w:tcPr>
          <w:p w:rsidR="00E753E8" w:rsidRPr="00225F59" w:rsidRDefault="00E753E8" w:rsidP="00225F59">
            <w:pPr>
              <w:jc w:val="center"/>
              <w:rPr>
                <w:rFonts w:eastAsia="Times New Roman"/>
                <w:b/>
              </w:rPr>
            </w:pPr>
            <w:r w:rsidRPr="00225F59">
              <w:rPr>
                <w:rFonts w:eastAsia="Times New Roman"/>
                <w:b/>
              </w:rPr>
              <w:t>Año</w:t>
            </w:r>
          </w:p>
        </w:tc>
        <w:tc>
          <w:tcPr>
            <w:tcW w:w="799" w:type="pct"/>
            <w:vMerge w:val="restart"/>
            <w:vAlign w:val="center"/>
          </w:tcPr>
          <w:p w:rsidR="00E753E8" w:rsidRPr="00225F59" w:rsidRDefault="00E753E8" w:rsidP="00225F59">
            <w:pPr>
              <w:jc w:val="center"/>
              <w:rPr>
                <w:rFonts w:eastAsia="Times New Roman"/>
                <w:b/>
              </w:rPr>
            </w:pPr>
            <w:r w:rsidRPr="00225F59">
              <w:rPr>
                <w:rFonts w:eastAsia="Times New Roman"/>
                <w:b/>
              </w:rPr>
              <w:t>Lugar</w:t>
            </w:r>
          </w:p>
        </w:tc>
        <w:tc>
          <w:tcPr>
            <w:tcW w:w="1351" w:type="pct"/>
            <w:vMerge w:val="restart"/>
            <w:noWrap/>
            <w:vAlign w:val="center"/>
          </w:tcPr>
          <w:p w:rsidR="00550EE7" w:rsidRPr="00225F59" w:rsidRDefault="00E753E8" w:rsidP="00225F59">
            <w:pPr>
              <w:jc w:val="center"/>
              <w:rPr>
                <w:rFonts w:eastAsia="Times New Roman"/>
                <w:b/>
              </w:rPr>
            </w:pPr>
            <w:r w:rsidRPr="00225F59">
              <w:rPr>
                <w:rFonts w:eastAsia="Times New Roman"/>
                <w:b/>
              </w:rPr>
              <w:t>Edad</w:t>
            </w:r>
            <w:r w:rsidR="00550EE7" w:rsidRPr="00225F59">
              <w:rPr>
                <w:rFonts w:eastAsia="Times New Roman"/>
                <w:b/>
              </w:rPr>
              <w:t xml:space="preserve"> </w:t>
            </w:r>
            <w:r w:rsidR="004D1170" w:rsidRPr="00225F59">
              <w:rPr>
                <w:rFonts w:eastAsia="Times New Roman"/>
                <w:b/>
              </w:rPr>
              <w:t>Media</w:t>
            </w:r>
          </w:p>
          <w:p w:rsidR="00E753E8" w:rsidRPr="00225F59" w:rsidRDefault="00E753E8" w:rsidP="00225F59">
            <w:pPr>
              <w:jc w:val="center"/>
              <w:rPr>
                <w:rFonts w:eastAsia="Times New Roman"/>
                <w:b/>
              </w:rPr>
            </w:pPr>
            <w:r w:rsidRPr="00225F59">
              <w:rPr>
                <w:rFonts w:eastAsia="Times New Roman"/>
                <w:b/>
              </w:rPr>
              <w:t>(Rango)</w:t>
            </w:r>
          </w:p>
        </w:tc>
        <w:tc>
          <w:tcPr>
            <w:tcW w:w="1551" w:type="pct"/>
            <w:gridSpan w:val="2"/>
            <w:noWrap/>
            <w:vAlign w:val="center"/>
            <w:hideMark/>
          </w:tcPr>
          <w:p w:rsidR="00E753E8" w:rsidRPr="00225F59" w:rsidRDefault="00E753E8" w:rsidP="00225F59">
            <w:pPr>
              <w:jc w:val="center"/>
              <w:rPr>
                <w:rFonts w:eastAsia="Times New Roman"/>
                <w:b/>
              </w:rPr>
            </w:pPr>
            <w:r w:rsidRPr="00225F59">
              <w:rPr>
                <w:rFonts w:eastAsia="Times New Roman"/>
                <w:b/>
              </w:rPr>
              <w:t>Sujetos</w:t>
            </w:r>
          </w:p>
        </w:tc>
      </w:tr>
      <w:tr w:rsidR="00427E23" w:rsidRPr="006D0572" w:rsidTr="00550EE7">
        <w:trPr>
          <w:trHeight w:val="301"/>
        </w:trPr>
        <w:tc>
          <w:tcPr>
            <w:tcW w:w="894" w:type="pct"/>
            <w:vMerge/>
            <w:noWrap/>
            <w:vAlign w:val="center"/>
            <w:hideMark/>
          </w:tcPr>
          <w:p w:rsidR="00E357EB" w:rsidRDefault="00E357EB" w:rsidP="006A48D0">
            <w:pPr>
              <w:jc w:val="left"/>
              <w:rPr>
                <w:rFonts w:eastAsia="Times New Roman"/>
              </w:rPr>
              <w:pPrChange w:id="5" w:author="Ibeth" w:date="2013-02-28T16:12:00Z">
                <w:pPr>
                  <w:spacing w:after="200"/>
                  <w:jc w:val="center"/>
                </w:pPr>
              </w:pPrChange>
            </w:pPr>
          </w:p>
        </w:tc>
        <w:tc>
          <w:tcPr>
            <w:tcW w:w="404" w:type="pct"/>
            <w:vMerge/>
            <w:noWrap/>
            <w:vAlign w:val="center"/>
            <w:hideMark/>
          </w:tcPr>
          <w:p w:rsidR="00E357EB" w:rsidRDefault="00E357EB">
            <w:pPr>
              <w:rPr>
                <w:rFonts w:eastAsia="Times New Roman"/>
              </w:rPr>
              <w:pPrChange w:id="6" w:author="Ibeth" w:date="2013-02-28T16:12:00Z">
                <w:pPr>
                  <w:spacing w:after="200"/>
                  <w:jc w:val="center"/>
                </w:pPr>
              </w:pPrChange>
            </w:pPr>
          </w:p>
        </w:tc>
        <w:tc>
          <w:tcPr>
            <w:tcW w:w="799" w:type="pct"/>
            <w:vMerge/>
            <w:vAlign w:val="center"/>
          </w:tcPr>
          <w:p w:rsidR="00E357EB" w:rsidRDefault="00E357EB">
            <w:pPr>
              <w:rPr>
                <w:rFonts w:eastAsia="Times New Roman"/>
              </w:rPr>
              <w:pPrChange w:id="7" w:author="Ibeth" w:date="2013-02-28T16:12:00Z">
                <w:pPr>
                  <w:spacing w:after="200"/>
                  <w:jc w:val="center"/>
                </w:pPr>
              </w:pPrChange>
            </w:pPr>
          </w:p>
        </w:tc>
        <w:tc>
          <w:tcPr>
            <w:tcW w:w="1351" w:type="pct"/>
            <w:vMerge/>
            <w:noWrap/>
            <w:vAlign w:val="center"/>
          </w:tcPr>
          <w:p w:rsidR="00E357EB" w:rsidRDefault="00E357EB">
            <w:pPr>
              <w:rPr>
                <w:rFonts w:eastAsia="Times New Roman"/>
              </w:rPr>
              <w:pPrChange w:id="8" w:author="Ibeth" w:date="2013-02-28T16:12:00Z">
                <w:pPr>
                  <w:spacing w:after="200"/>
                  <w:jc w:val="center"/>
                </w:pPr>
              </w:pPrChange>
            </w:pPr>
          </w:p>
        </w:tc>
        <w:tc>
          <w:tcPr>
            <w:tcW w:w="506" w:type="pct"/>
            <w:noWrap/>
            <w:vAlign w:val="center"/>
            <w:hideMark/>
          </w:tcPr>
          <w:p w:rsidR="00E357EB" w:rsidRPr="00225F59" w:rsidRDefault="00E753E8" w:rsidP="006A48D0">
            <w:pPr>
              <w:jc w:val="center"/>
              <w:rPr>
                <w:rFonts w:eastAsia="Times New Roman"/>
                <w:b/>
              </w:rPr>
            </w:pPr>
            <w:r w:rsidRPr="00225F59">
              <w:rPr>
                <w:rFonts w:eastAsia="Times New Roman"/>
                <w:b/>
              </w:rPr>
              <w:t>#</w:t>
            </w:r>
          </w:p>
        </w:tc>
        <w:tc>
          <w:tcPr>
            <w:tcW w:w="1045" w:type="pct"/>
            <w:vAlign w:val="center"/>
          </w:tcPr>
          <w:p w:rsidR="00E357EB" w:rsidRPr="00225F59" w:rsidRDefault="00E753E8" w:rsidP="006A48D0">
            <w:pPr>
              <w:jc w:val="center"/>
              <w:rPr>
                <w:rFonts w:eastAsia="Times New Roman"/>
                <w:b/>
              </w:rPr>
            </w:pPr>
            <w:r w:rsidRPr="00225F59">
              <w:rPr>
                <w:rFonts w:eastAsia="Times New Roman"/>
                <w:b/>
              </w:rPr>
              <w:t>%(IC95%)</w:t>
            </w:r>
          </w:p>
        </w:tc>
      </w:tr>
      <w:tr w:rsidR="00427E23" w:rsidRPr="006D0572" w:rsidTr="00550EE7">
        <w:trPr>
          <w:trHeight w:val="300"/>
        </w:trPr>
        <w:tc>
          <w:tcPr>
            <w:tcW w:w="894" w:type="pct"/>
            <w:noWrap/>
            <w:vAlign w:val="bottom"/>
            <w:hideMark/>
          </w:tcPr>
          <w:p w:rsidR="003407F1" w:rsidRPr="006D0572" w:rsidRDefault="003407F1" w:rsidP="006A48D0">
            <w:pPr>
              <w:jc w:val="left"/>
              <w:rPr>
                <w:rFonts w:eastAsia="Times New Roman"/>
              </w:rPr>
            </w:pPr>
            <w:proofErr w:type="spellStart"/>
            <w:r>
              <w:rPr>
                <w:rFonts w:eastAsia="Times New Roman"/>
              </w:rPr>
              <w:t>Morandi</w:t>
            </w:r>
            <w:proofErr w:type="spellEnd"/>
            <w:r>
              <w:rPr>
                <w:rFonts w:eastAsia="Times New Roman"/>
              </w:rPr>
              <w:t xml:space="preserve"> E</w:t>
            </w:r>
            <w:r w:rsidR="00FA2957">
              <w:rPr>
                <w:rFonts w:eastAsia="Times New Roman"/>
                <w:vertAlign w:val="superscript"/>
              </w:rPr>
              <w:t>11</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2007</w:t>
            </w:r>
          </w:p>
        </w:tc>
        <w:tc>
          <w:tcPr>
            <w:tcW w:w="799" w:type="pct"/>
            <w:vAlign w:val="center"/>
          </w:tcPr>
          <w:p w:rsidR="003407F1" w:rsidRPr="006D0572" w:rsidRDefault="003407F1" w:rsidP="00225F59">
            <w:pPr>
              <w:jc w:val="center"/>
              <w:rPr>
                <w:rFonts w:eastAsia="Times New Roman"/>
              </w:rPr>
            </w:pPr>
            <w:r w:rsidRPr="006D0572">
              <w:rPr>
                <w:rFonts w:eastAsia="Times New Roman"/>
              </w:rPr>
              <w:t>Brasil</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39,3(≥18)</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365</w:t>
            </w:r>
          </w:p>
        </w:tc>
        <w:tc>
          <w:tcPr>
            <w:tcW w:w="1045" w:type="pct"/>
            <w:vAlign w:val="center"/>
          </w:tcPr>
          <w:p w:rsidR="003407F1" w:rsidRPr="003407F1" w:rsidRDefault="003407F1" w:rsidP="00225F59">
            <w:pPr>
              <w:jc w:val="center"/>
              <w:rPr>
                <w:rFonts w:eastAsia="Times New Roman"/>
              </w:rPr>
            </w:pPr>
            <w:r w:rsidRPr="003407F1">
              <w:rPr>
                <w:rFonts w:eastAsia="Times New Roman"/>
              </w:rPr>
              <w:t>18,1</w:t>
            </w:r>
            <w:r w:rsidR="002B1DA7">
              <w:rPr>
                <w:rFonts w:eastAsia="Times New Roman"/>
              </w:rPr>
              <w:t xml:space="preserve"> (16,4-19,8)</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r>
              <w:rPr>
                <w:rFonts w:eastAsia="Times New Roman"/>
              </w:rPr>
              <w:t>Zhang W</w:t>
            </w:r>
            <w:r w:rsidR="00F01080">
              <w:rPr>
                <w:rFonts w:eastAsia="Times New Roman"/>
                <w:vertAlign w:val="superscript"/>
              </w:rPr>
              <w:t>1</w:t>
            </w:r>
            <w:r w:rsidR="00FA2957">
              <w:rPr>
                <w:rFonts w:eastAsia="Times New Roman"/>
                <w:vertAlign w:val="superscript"/>
              </w:rPr>
              <w:t>2</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2009</w:t>
            </w:r>
          </w:p>
        </w:tc>
        <w:tc>
          <w:tcPr>
            <w:tcW w:w="799" w:type="pct"/>
            <w:vAlign w:val="center"/>
          </w:tcPr>
          <w:p w:rsidR="003407F1" w:rsidRPr="006D0572" w:rsidRDefault="003407F1" w:rsidP="00225F59">
            <w:pPr>
              <w:jc w:val="center"/>
              <w:rPr>
                <w:rFonts w:eastAsia="Times New Roman"/>
              </w:rPr>
            </w:pPr>
            <w:r w:rsidRPr="006D0572">
              <w:rPr>
                <w:rFonts w:eastAsia="Times New Roman"/>
              </w:rPr>
              <w:t>China</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41,6(18-65)</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335</w:t>
            </w:r>
          </w:p>
        </w:tc>
        <w:tc>
          <w:tcPr>
            <w:tcW w:w="1045" w:type="pct"/>
            <w:vAlign w:val="center"/>
          </w:tcPr>
          <w:p w:rsidR="003407F1" w:rsidRPr="003407F1" w:rsidRDefault="003407F1" w:rsidP="00225F59">
            <w:pPr>
              <w:jc w:val="center"/>
              <w:rPr>
                <w:rFonts w:eastAsia="Times New Roman"/>
              </w:rPr>
            </w:pPr>
            <w:r w:rsidRPr="003407F1">
              <w:rPr>
                <w:rFonts w:eastAsia="Times New Roman"/>
              </w:rPr>
              <w:t>16,6</w:t>
            </w:r>
            <w:r w:rsidR="00645767">
              <w:rPr>
                <w:rFonts w:eastAsia="Times New Roman"/>
              </w:rPr>
              <w:t>(15,0 -1</w:t>
            </w:r>
            <w:r w:rsidR="009C3726">
              <w:rPr>
                <w:rFonts w:eastAsia="Times New Roman"/>
              </w:rPr>
              <w:t>8</w:t>
            </w:r>
            <w:r w:rsidR="00645767">
              <w:rPr>
                <w:rFonts w:eastAsia="Times New Roman"/>
              </w:rPr>
              <w:t>,</w:t>
            </w:r>
            <w:r w:rsidR="009C3726">
              <w:rPr>
                <w:rFonts w:eastAsia="Times New Roman"/>
              </w:rPr>
              <w:t>3</w:t>
            </w:r>
            <w:r w:rsidR="00645767">
              <w:rPr>
                <w:rFonts w:eastAsia="Times New Roman"/>
              </w:rPr>
              <w:t>)</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Tsutsumi</w:t>
            </w:r>
            <w:proofErr w:type="spellEnd"/>
            <w:r w:rsidR="008371CE">
              <w:rPr>
                <w:rFonts w:eastAsia="Times New Roman"/>
              </w:rPr>
              <w:t xml:space="preserve"> </w:t>
            </w:r>
            <w:r w:rsidRPr="00F01080">
              <w:rPr>
                <w:rFonts w:eastAsia="Times New Roman"/>
              </w:rPr>
              <w:t>A</w:t>
            </w:r>
            <w:r w:rsidR="00FA2957" w:rsidRPr="00F01080">
              <w:rPr>
                <w:rFonts w:eastAsia="Times New Roman"/>
                <w:vertAlign w:val="superscript"/>
              </w:rPr>
              <w:t>13</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2007</w:t>
            </w:r>
          </w:p>
        </w:tc>
        <w:tc>
          <w:tcPr>
            <w:tcW w:w="799" w:type="pct"/>
            <w:vAlign w:val="center"/>
          </w:tcPr>
          <w:p w:rsidR="003407F1" w:rsidRPr="006D0572" w:rsidRDefault="003407F1" w:rsidP="00225F59">
            <w:pPr>
              <w:jc w:val="center"/>
              <w:rPr>
                <w:rFonts w:eastAsia="Times New Roman"/>
              </w:rPr>
            </w:pPr>
            <w:r w:rsidRPr="006D0572">
              <w:rPr>
                <w:rFonts w:eastAsia="Times New Roman"/>
              </w:rPr>
              <w:t>Bangladesh</w:t>
            </w:r>
          </w:p>
        </w:tc>
        <w:tc>
          <w:tcPr>
            <w:tcW w:w="1351" w:type="pct"/>
            <w:noWrap/>
            <w:vAlign w:val="center"/>
          </w:tcPr>
          <w:p w:rsidR="003407F1" w:rsidRPr="00253CFB" w:rsidRDefault="004B6489" w:rsidP="00225F59">
            <w:pPr>
              <w:jc w:val="center"/>
              <w:rPr>
                <w:rFonts w:eastAsia="Times New Roman"/>
              </w:rPr>
            </w:pPr>
            <w:r w:rsidRPr="00253CFB">
              <w:rPr>
                <w:rFonts w:eastAsia="Times New Roman"/>
              </w:rPr>
              <w:t>37,4</w:t>
            </w:r>
            <w:r w:rsidR="0083483F" w:rsidRPr="00253CFB">
              <w:rPr>
                <w:rFonts w:eastAsia="Times New Roman"/>
              </w:rPr>
              <w:t xml:space="preserve"> (Sin dato)</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188</w:t>
            </w:r>
          </w:p>
        </w:tc>
        <w:tc>
          <w:tcPr>
            <w:tcW w:w="1045" w:type="pct"/>
            <w:vAlign w:val="center"/>
          </w:tcPr>
          <w:p w:rsidR="003407F1" w:rsidRPr="003407F1" w:rsidRDefault="003407F1" w:rsidP="00225F59">
            <w:pPr>
              <w:jc w:val="center"/>
              <w:rPr>
                <w:rFonts w:eastAsia="Times New Roman"/>
              </w:rPr>
            </w:pPr>
            <w:r w:rsidRPr="003407F1">
              <w:rPr>
                <w:rFonts w:eastAsia="Times New Roman"/>
              </w:rPr>
              <w:t>9,3</w:t>
            </w:r>
            <w:r w:rsidR="009C3726">
              <w:rPr>
                <w:rFonts w:eastAsia="Times New Roman"/>
              </w:rPr>
              <w:t>(8,0 - 10,6)</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r>
              <w:rPr>
                <w:rFonts w:eastAsia="Times New Roman"/>
              </w:rPr>
              <w:t>Cardona J</w:t>
            </w:r>
            <w:r w:rsidR="00FA2957" w:rsidRPr="00F01080">
              <w:rPr>
                <w:rFonts w:eastAsia="Times New Roman"/>
                <w:vertAlign w:val="superscript"/>
              </w:rPr>
              <w:t>1</w:t>
            </w:r>
            <w:r w:rsidR="00FA2957">
              <w:rPr>
                <w:rFonts w:eastAsia="Times New Roman"/>
                <w:vertAlign w:val="superscript"/>
              </w:rPr>
              <w:t>4</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2011</w:t>
            </w:r>
          </w:p>
        </w:tc>
        <w:tc>
          <w:tcPr>
            <w:tcW w:w="799" w:type="pct"/>
            <w:vAlign w:val="center"/>
          </w:tcPr>
          <w:p w:rsidR="003407F1" w:rsidRPr="006D0572" w:rsidRDefault="003407F1" w:rsidP="00225F59">
            <w:pPr>
              <w:jc w:val="center"/>
              <w:rPr>
                <w:rFonts w:eastAsia="Times New Roman"/>
              </w:rPr>
            </w:pPr>
            <w:r w:rsidRPr="006D0572">
              <w:rPr>
                <w:rFonts w:eastAsia="Times New Roman"/>
              </w:rPr>
              <w:t>Colombia</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40,1(≥18)</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187</w:t>
            </w:r>
          </w:p>
        </w:tc>
        <w:tc>
          <w:tcPr>
            <w:tcW w:w="1045" w:type="pct"/>
            <w:vAlign w:val="center"/>
          </w:tcPr>
          <w:p w:rsidR="003407F1" w:rsidRPr="003407F1" w:rsidRDefault="003407F1" w:rsidP="00225F59">
            <w:pPr>
              <w:jc w:val="center"/>
              <w:rPr>
                <w:rFonts w:eastAsia="Times New Roman"/>
              </w:rPr>
            </w:pPr>
            <w:r w:rsidRPr="003407F1">
              <w:rPr>
                <w:rFonts w:eastAsia="Times New Roman"/>
              </w:rPr>
              <w:t>9,3</w:t>
            </w:r>
            <w:r w:rsidR="009C3726">
              <w:rPr>
                <w:rFonts w:eastAsia="Times New Roman"/>
              </w:rPr>
              <w:t>(8,0 - 10,6)</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Taliani</w:t>
            </w:r>
            <w:proofErr w:type="spellEnd"/>
            <w:r w:rsidR="008371CE">
              <w:rPr>
                <w:rFonts w:eastAsia="Times New Roman"/>
              </w:rPr>
              <w:t xml:space="preserve"> </w:t>
            </w:r>
            <w:r>
              <w:rPr>
                <w:rFonts w:eastAsia="Times New Roman"/>
              </w:rPr>
              <w:t>G</w:t>
            </w:r>
            <w:r w:rsidR="00FA2957" w:rsidRPr="00FA2957">
              <w:rPr>
                <w:rFonts w:eastAsia="Times New Roman"/>
                <w:vertAlign w:val="superscript"/>
              </w:rPr>
              <w:t>15</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2007</w:t>
            </w:r>
          </w:p>
        </w:tc>
        <w:tc>
          <w:tcPr>
            <w:tcW w:w="799" w:type="pct"/>
            <w:vAlign w:val="center"/>
          </w:tcPr>
          <w:p w:rsidR="003407F1" w:rsidRPr="006D0572" w:rsidRDefault="003407F1" w:rsidP="00225F59">
            <w:pPr>
              <w:jc w:val="center"/>
              <w:rPr>
                <w:rFonts w:eastAsia="Times New Roman"/>
              </w:rPr>
            </w:pPr>
            <w:r w:rsidRPr="006D0572">
              <w:rPr>
                <w:rFonts w:eastAsia="Times New Roman"/>
              </w:rPr>
              <w:t>Italia</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43,8(20-69)</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163</w:t>
            </w:r>
          </w:p>
        </w:tc>
        <w:tc>
          <w:tcPr>
            <w:tcW w:w="1045" w:type="pct"/>
            <w:vAlign w:val="center"/>
          </w:tcPr>
          <w:p w:rsidR="003407F1" w:rsidRPr="003407F1" w:rsidRDefault="003407F1" w:rsidP="00225F59">
            <w:pPr>
              <w:jc w:val="center"/>
              <w:rPr>
                <w:rFonts w:eastAsia="Times New Roman"/>
              </w:rPr>
            </w:pPr>
            <w:r w:rsidRPr="003407F1">
              <w:rPr>
                <w:rFonts w:eastAsia="Times New Roman"/>
              </w:rPr>
              <w:t>8,1</w:t>
            </w:r>
            <w:r w:rsidR="009C3726">
              <w:rPr>
                <w:rFonts w:eastAsia="Times New Roman"/>
              </w:rPr>
              <w:t>(6,9 - 9,3)</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Mkangara</w:t>
            </w:r>
            <w:proofErr w:type="spellEnd"/>
            <w:r w:rsidR="008371CE">
              <w:rPr>
                <w:rFonts w:eastAsia="Times New Roman"/>
              </w:rPr>
              <w:t xml:space="preserve"> </w:t>
            </w:r>
            <w:r>
              <w:rPr>
                <w:rFonts w:eastAsia="Times New Roman"/>
              </w:rPr>
              <w:t>O</w:t>
            </w:r>
            <w:r w:rsidR="00FA2957">
              <w:rPr>
                <w:rFonts w:eastAsia="Times New Roman"/>
                <w:vertAlign w:val="superscript"/>
              </w:rPr>
              <w:t>16</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2009</w:t>
            </w:r>
          </w:p>
        </w:tc>
        <w:tc>
          <w:tcPr>
            <w:tcW w:w="799" w:type="pct"/>
            <w:vAlign w:val="center"/>
          </w:tcPr>
          <w:p w:rsidR="003407F1" w:rsidRPr="006D0572" w:rsidRDefault="003407F1" w:rsidP="00225F59">
            <w:pPr>
              <w:jc w:val="center"/>
              <w:rPr>
                <w:rFonts w:eastAsia="Times New Roman"/>
              </w:rPr>
            </w:pPr>
            <w:r w:rsidRPr="006D0572">
              <w:rPr>
                <w:rFonts w:eastAsia="Times New Roman"/>
              </w:rPr>
              <w:t>China</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31,5(</w:t>
            </w:r>
            <w:r w:rsidR="008371CE" w:rsidRPr="00253CFB">
              <w:rPr>
                <w:rFonts w:eastAsia="Times New Roman"/>
              </w:rPr>
              <w:t>18-55</w:t>
            </w:r>
            <w:r w:rsidRPr="00253CFB">
              <w:rPr>
                <w:rFonts w:eastAsia="Times New Roman"/>
              </w:rPr>
              <w:t>)</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136</w:t>
            </w:r>
          </w:p>
        </w:tc>
        <w:tc>
          <w:tcPr>
            <w:tcW w:w="1045" w:type="pct"/>
            <w:vAlign w:val="center"/>
          </w:tcPr>
          <w:p w:rsidR="003407F1" w:rsidRPr="003407F1" w:rsidRDefault="003407F1" w:rsidP="00225F59">
            <w:pPr>
              <w:jc w:val="center"/>
              <w:rPr>
                <w:rFonts w:eastAsia="Times New Roman"/>
              </w:rPr>
            </w:pPr>
            <w:r w:rsidRPr="003407F1">
              <w:rPr>
                <w:rFonts w:eastAsia="Times New Roman"/>
              </w:rPr>
              <w:t>6,8</w:t>
            </w:r>
            <w:r w:rsidR="009C3726">
              <w:rPr>
                <w:rFonts w:eastAsia="Times New Roman"/>
              </w:rPr>
              <w:t>(5,6 -7,9)</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Sakthong</w:t>
            </w:r>
            <w:proofErr w:type="spellEnd"/>
            <w:r w:rsidR="008371CE">
              <w:rPr>
                <w:rFonts w:eastAsia="Times New Roman"/>
              </w:rPr>
              <w:t xml:space="preserve"> </w:t>
            </w:r>
            <w:r>
              <w:rPr>
                <w:rFonts w:eastAsia="Times New Roman"/>
              </w:rPr>
              <w:t>P</w:t>
            </w:r>
            <w:r w:rsidR="00FA2957">
              <w:rPr>
                <w:rFonts w:eastAsia="Times New Roman"/>
                <w:vertAlign w:val="superscript"/>
              </w:rPr>
              <w:t>17</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2009</w:t>
            </w:r>
          </w:p>
        </w:tc>
        <w:tc>
          <w:tcPr>
            <w:tcW w:w="799" w:type="pct"/>
            <w:vAlign w:val="center"/>
          </w:tcPr>
          <w:p w:rsidR="003407F1" w:rsidRPr="006D0572" w:rsidRDefault="003407F1" w:rsidP="00225F59">
            <w:pPr>
              <w:jc w:val="center"/>
              <w:rPr>
                <w:rFonts w:eastAsia="Times New Roman"/>
              </w:rPr>
            </w:pPr>
            <w:r w:rsidRPr="006D0572">
              <w:rPr>
                <w:rFonts w:eastAsia="Times New Roman"/>
              </w:rPr>
              <w:t>Tailandia</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36,2(≥18)</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120</w:t>
            </w:r>
          </w:p>
        </w:tc>
        <w:tc>
          <w:tcPr>
            <w:tcW w:w="1045" w:type="pct"/>
            <w:vAlign w:val="center"/>
          </w:tcPr>
          <w:p w:rsidR="003407F1" w:rsidRPr="003407F1" w:rsidRDefault="003407F1" w:rsidP="00225F59">
            <w:pPr>
              <w:jc w:val="center"/>
              <w:rPr>
                <w:rFonts w:eastAsia="Times New Roman"/>
              </w:rPr>
            </w:pPr>
            <w:r w:rsidRPr="003407F1">
              <w:rPr>
                <w:rFonts w:eastAsia="Times New Roman"/>
              </w:rPr>
              <w:t>6,0</w:t>
            </w:r>
            <w:r w:rsidR="009C3726">
              <w:rPr>
                <w:rFonts w:eastAsia="Times New Roman"/>
              </w:rPr>
              <w:t>(4,9 -7,0)</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r>
              <w:rPr>
                <w:rFonts w:eastAsia="Times New Roman"/>
              </w:rPr>
              <w:t>Costa M</w:t>
            </w:r>
            <w:r w:rsidR="00FA2957">
              <w:rPr>
                <w:rFonts w:eastAsia="Times New Roman"/>
                <w:vertAlign w:val="superscript"/>
              </w:rPr>
              <w:t>18</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2012</w:t>
            </w:r>
          </w:p>
        </w:tc>
        <w:tc>
          <w:tcPr>
            <w:tcW w:w="799" w:type="pct"/>
            <w:vAlign w:val="center"/>
          </w:tcPr>
          <w:p w:rsidR="003407F1" w:rsidRPr="006D0572" w:rsidRDefault="003407F1" w:rsidP="00225F59">
            <w:pPr>
              <w:jc w:val="center"/>
              <w:rPr>
                <w:rFonts w:eastAsia="Times New Roman"/>
              </w:rPr>
            </w:pPr>
            <w:r w:rsidRPr="006D0572">
              <w:rPr>
                <w:rFonts w:eastAsia="Times New Roman"/>
              </w:rPr>
              <w:t>Brasil</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47,0</w:t>
            </w:r>
            <w:r w:rsidR="0083483F" w:rsidRPr="00253CFB">
              <w:rPr>
                <w:rFonts w:eastAsia="Times New Roman"/>
              </w:rPr>
              <w:t xml:space="preserve"> (Sin dato)</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120</w:t>
            </w:r>
          </w:p>
        </w:tc>
        <w:tc>
          <w:tcPr>
            <w:tcW w:w="1045" w:type="pct"/>
            <w:vAlign w:val="center"/>
          </w:tcPr>
          <w:p w:rsidR="003407F1" w:rsidRPr="003407F1" w:rsidRDefault="003407F1" w:rsidP="00225F59">
            <w:pPr>
              <w:jc w:val="center"/>
              <w:rPr>
                <w:rFonts w:eastAsia="Times New Roman"/>
              </w:rPr>
            </w:pPr>
            <w:r w:rsidRPr="003407F1">
              <w:rPr>
                <w:rFonts w:eastAsia="Times New Roman"/>
              </w:rPr>
              <w:t>6,0</w:t>
            </w:r>
            <w:r w:rsidR="009C3726">
              <w:rPr>
                <w:rFonts w:eastAsia="Times New Roman"/>
              </w:rPr>
              <w:t>(4,9 - 7,0)</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Ozaki</w:t>
            </w:r>
            <w:proofErr w:type="spellEnd"/>
            <w:r w:rsidR="008371CE">
              <w:rPr>
                <w:rFonts w:eastAsia="Times New Roman"/>
              </w:rPr>
              <w:t xml:space="preserve"> </w:t>
            </w:r>
            <w:r>
              <w:rPr>
                <w:rFonts w:eastAsia="Times New Roman"/>
              </w:rPr>
              <w:t>Y</w:t>
            </w:r>
            <w:r w:rsidR="00FA2957">
              <w:rPr>
                <w:rFonts w:eastAsia="Times New Roman"/>
                <w:vertAlign w:val="superscript"/>
              </w:rPr>
              <w:t>19</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2011</w:t>
            </w:r>
          </w:p>
        </w:tc>
        <w:tc>
          <w:tcPr>
            <w:tcW w:w="799" w:type="pct"/>
            <w:vAlign w:val="center"/>
          </w:tcPr>
          <w:p w:rsidR="003407F1" w:rsidRPr="006D0572" w:rsidRDefault="003407F1" w:rsidP="00225F59">
            <w:pPr>
              <w:jc w:val="center"/>
              <w:rPr>
                <w:rFonts w:eastAsia="Times New Roman"/>
              </w:rPr>
            </w:pPr>
            <w:r w:rsidRPr="006D0572">
              <w:rPr>
                <w:rFonts w:eastAsia="Times New Roman"/>
              </w:rPr>
              <w:t>Brasil</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51 (23-82)</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110</w:t>
            </w:r>
          </w:p>
        </w:tc>
        <w:tc>
          <w:tcPr>
            <w:tcW w:w="1045" w:type="pct"/>
            <w:vAlign w:val="center"/>
          </w:tcPr>
          <w:p w:rsidR="003407F1" w:rsidRPr="003407F1" w:rsidRDefault="003407F1" w:rsidP="00225F59">
            <w:pPr>
              <w:jc w:val="center"/>
              <w:rPr>
                <w:rFonts w:eastAsia="Times New Roman"/>
              </w:rPr>
            </w:pPr>
            <w:r w:rsidRPr="003407F1">
              <w:rPr>
                <w:rFonts w:eastAsia="Times New Roman"/>
              </w:rPr>
              <w:t>5,5</w:t>
            </w:r>
            <w:r w:rsidR="009C3726">
              <w:rPr>
                <w:rFonts w:eastAsia="Times New Roman"/>
              </w:rPr>
              <w:t>(4,5 - 6,5)</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Galvao</w:t>
            </w:r>
            <w:proofErr w:type="spellEnd"/>
            <w:r w:rsidR="008371CE">
              <w:rPr>
                <w:rFonts w:eastAsia="Times New Roman"/>
              </w:rPr>
              <w:t xml:space="preserve"> </w:t>
            </w:r>
            <w:r>
              <w:rPr>
                <w:rFonts w:eastAsia="Times New Roman"/>
              </w:rPr>
              <w:t>V</w:t>
            </w:r>
            <w:r w:rsidR="00FA2957">
              <w:rPr>
                <w:rFonts w:eastAsia="Times New Roman"/>
                <w:vertAlign w:val="superscript"/>
              </w:rPr>
              <w:t>20</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2011</w:t>
            </w:r>
          </w:p>
        </w:tc>
        <w:tc>
          <w:tcPr>
            <w:tcW w:w="799" w:type="pct"/>
            <w:vAlign w:val="center"/>
          </w:tcPr>
          <w:p w:rsidR="003407F1" w:rsidRPr="006D0572" w:rsidRDefault="003407F1" w:rsidP="00225F59">
            <w:pPr>
              <w:jc w:val="center"/>
              <w:rPr>
                <w:rFonts w:eastAsia="Times New Roman"/>
              </w:rPr>
            </w:pPr>
            <w:r w:rsidRPr="006D0572">
              <w:rPr>
                <w:rFonts w:eastAsia="Times New Roman"/>
              </w:rPr>
              <w:t>Brasil</w:t>
            </w:r>
          </w:p>
        </w:tc>
        <w:tc>
          <w:tcPr>
            <w:tcW w:w="1351" w:type="pct"/>
            <w:noWrap/>
            <w:vAlign w:val="center"/>
          </w:tcPr>
          <w:p w:rsidR="003407F1" w:rsidRPr="00253CFB" w:rsidRDefault="003407F1" w:rsidP="00225F59">
            <w:pPr>
              <w:jc w:val="center"/>
              <w:rPr>
                <w:rFonts w:eastAsia="Times New Roman"/>
              </w:rPr>
            </w:pPr>
            <w:r w:rsidRPr="00253CFB">
              <w:rPr>
                <w:rFonts w:eastAsia="Times New Roman"/>
              </w:rPr>
              <w:t>43,7(18-87)</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88</w:t>
            </w:r>
          </w:p>
        </w:tc>
        <w:tc>
          <w:tcPr>
            <w:tcW w:w="1045" w:type="pct"/>
            <w:vAlign w:val="center"/>
          </w:tcPr>
          <w:p w:rsidR="003407F1" w:rsidRPr="003407F1" w:rsidRDefault="003407F1" w:rsidP="00225F59">
            <w:pPr>
              <w:jc w:val="center"/>
              <w:rPr>
                <w:rFonts w:eastAsia="Times New Roman"/>
              </w:rPr>
            </w:pPr>
            <w:r w:rsidRPr="003407F1">
              <w:rPr>
                <w:rFonts w:eastAsia="Times New Roman"/>
              </w:rPr>
              <w:t>4,4</w:t>
            </w:r>
            <w:r w:rsidR="009C3726">
              <w:rPr>
                <w:rFonts w:eastAsia="Times New Roman"/>
              </w:rPr>
              <w:t xml:space="preserve"> (3,4 –5,3)</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Naveet</w:t>
            </w:r>
            <w:proofErr w:type="spellEnd"/>
            <w:r w:rsidR="008371CE">
              <w:rPr>
                <w:rFonts w:eastAsia="Times New Roman"/>
              </w:rPr>
              <w:t xml:space="preserve"> </w:t>
            </w:r>
            <w:r>
              <w:rPr>
                <w:rFonts w:eastAsia="Times New Roman"/>
              </w:rPr>
              <w:t>W</w:t>
            </w:r>
            <w:r w:rsidR="00FA2957">
              <w:rPr>
                <w:rFonts w:eastAsia="Times New Roman"/>
                <w:vertAlign w:val="superscript"/>
              </w:rPr>
              <w:t>21</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2006</w:t>
            </w:r>
          </w:p>
        </w:tc>
        <w:tc>
          <w:tcPr>
            <w:tcW w:w="799" w:type="pct"/>
            <w:vAlign w:val="center"/>
          </w:tcPr>
          <w:p w:rsidR="003407F1" w:rsidRPr="006D0572" w:rsidRDefault="003407F1" w:rsidP="00225F59">
            <w:pPr>
              <w:jc w:val="center"/>
              <w:rPr>
                <w:rFonts w:eastAsia="Times New Roman"/>
              </w:rPr>
            </w:pPr>
            <w:r w:rsidRPr="006D0572">
              <w:rPr>
                <w:rFonts w:eastAsia="Times New Roman"/>
              </w:rPr>
              <w:t>India</w:t>
            </w:r>
          </w:p>
        </w:tc>
        <w:tc>
          <w:tcPr>
            <w:tcW w:w="1351" w:type="pct"/>
            <w:noWrap/>
            <w:vAlign w:val="center"/>
          </w:tcPr>
          <w:p w:rsidR="003407F1" w:rsidRPr="006D0572" w:rsidRDefault="003407F1" w:rsidP="00225F59">
            <w:pPr>
              <w:jc w:val="center"/>
              <w:rPr>
                <w:rFonts w:eastAsia="Times New Roman"/>
              </w:rPr>
            </w:pPr>
            <w:r w:rsidRPr="006D0572">
              <w:rPr>
                <w:rFonts w:eastAsia="Times New Roman"/>
              </w:rPr>
              <w:t>32,4(19-59)</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68</w:t>
            </w:r>
          </w:p>
        </w:tc>
        <w:tc>
          <w:tcPr>
            <w:tcW w:w="1045" w:type="pct"/>
            <w:vAlign w:val="center"/>
          </w:tcPr>
          <w:p w:rsidR="003407F1" w:rsidRPr="003407F1" w:rsidRDefault="003407F1" w:rsidP="00225F59">
            <w:pPr>
              <w:jc w:val="center"/>
              <w:rPr>
                <w:rFonts w:eastAsia="Times New Roman"/>
              </w:rPr>
            </w:pPr>
            <w:r w:rsidRPr="003407F1">
              <w:rPr>
                <w:rFonts w:eastAsia="Times New Roman"/>
              </w:rPr>
              <w:t>3,4</w:t>
            </w:r>
            <w:r w:rsidR="009C3726">
              <w:rPr>
                <w:rFonts w:eastAsia="Times New Roman"/>
              </w:rPr>
              <w:t>(2,6 – 4,2)</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proofErr w:type="spellStart"/>
            <w:r>
              <w:rPr>
                <w:rFonts w:eastAsia="Times New Roman"/>
              </w:rPr>
              <w:t>Mankar</w:t>
            </w:r>
            <w:proofErr w:type="spellEnd"/>
            <w:r>
              <w:rPr>
                <w:rFonts w:eastAsia="Times New Roman"/>
              </w:rPr>
              <w:t xml:space="preserve"> M</w:t>
            </w:r>
            <w:r w:rsidR="00FA2957">
              <w:rPr>
                <w:rFonts w:eastAsia="Times New Roman"/>
                <w:vertAlign w:val="superscript"/>
              </w:rPr>
              <w:t>22</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2011</w:t>
            </w:r>
          </w:p>
        </w:tc>
        <w:tc>
          <w:tcPr>
            <w:tcW w:w="799" w:type="pct"/>
            <w:vAlign w:val="center"/>
          </w:tcPr>
          <w:p w:rsidR="003407F1" w:rsidRPr="006D0572" w:rsidRDefault="003407F1" w:rsidP="00225F59">
            <w:pPr>
              <w:jc w:val="center"/>
              <w:rPr>
                <w:rFonts w:eastAsia="Times New Roman"/>
              </w:rPr>
            </w:pPr>
            <w:r w:rsidRPr="006D0572">
              <w:rPr>
                <w:rFonts w:eastAsia="Times New Roman"/>
              </w:rPr>
              <w:t>India</w:t>
            </w:r>
          </w:p>
        </w:tc>
        <w:tc>
          <w:tcPr>
            <w:tcW w:w="1351" w:type="pct"/>
            <w:noWrap/>
            <w:vAlign w:val="center"/>
          </w:tcPr>
          <w:p w:rsidR="003407F1" w:rsidRPr="006D0572" w:rsidRDefault="0083483F" w:rsidP="00225F59">
            <w:pPr>
              <w:jc w:val="center"/>
              <w:rPr>
                <w:rFonts w:eastAsia="Times New Roman"/>
              </w:rPr>
            </w:pPr>
            <w:r>
              <w:rPr>
                <w:rFonts w:eastAsia="Times New Roman"/>
              </w:rPr>
              <w:t xml:space="preserve">Sin dato </w:t>
            </w:r>
            <w:r w:rsidR="003407F1">
              <w:rPr>
                <w:rFonts w:eastAsia="Times New Roman"/>
              </w:rPr>
              <w:t>(</w:t>
            </w:r>
            <w:r w:rsidR="003407F1" w:rsidRPr="006D0572">
              <w:rPr>
                <w:rFonts w:eastAsia="Times New Roman"/>
              </w:rPr>
              <w:t>19-80</w:t>
            </w:r>
            <w:r w:rsidR="003407F1">
              <w:rPr>
                <w:rFonts w:eastAsia="Times New Roman"/>
              </w:rPr>
              <w:t>)</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51</w:t>
            </w:r>
          </w:p>
        </w:tc>
        <w:tc>
          <w:tcPr>
            <w:tcW w:w="1045" w:type="pct"/>
            <w:vAlign w:val="center"/>
          </w:tcPr>
          <w:p w:rsidR="003407F1" w:rsidRPr="003407F1" w:rsidRDefault="003407F1" w:rsidP="00225F59">
            <w:pPr>
              <w:jc w:val="center"/>
              <w:rPr>
                <w:rFonts w:eastAsia="Times New Roman"/>
              </w:rPr>
            </w:pPr>
            <w:r w:rsidRPr="003407F1">
              <w:rPr>
                <w:rFonts w:eastAsia="Times New Roman"/>
              </w:rPr>
              <w:t>2,5</w:t>
            </w:r>
            <w:r w:rsidR="009C3726">
              <w:rPr>
                <w:rFonts w:eastAsia="Times New Roman"/>
              </w:rPr>
              <w:t>(1,8 – 3,2)</w:t>
            </w:r>
          </w:p>
        </w:tc>
      </w:tr>
      <w:tr w:rsidR="00427E23" w:rsidRPr="006D0572" w:rsidTr="00550EE7">
        <w:trPr>
          <w:trHeight w:val="300"/>
        </w:trPr>
        <w:tc>
          <w:tcPr>
            <w:tcW w:w="894" w:type="pct"/>
            <w:noWrap/>
            <w:vAlign w:val="center"/>
            <w:hideMark/>
          </w:tcPr>
          <w:p w:rsidR="003407F1" w:rsidRPr="006D0572" w:rsidRDefault="003407F1" w:rsidP="006A48D0">
            <w:pPr>
              <w:jc w:val="left"/>
              <w:rPr>
                <w:rFonts w:eastAsia="Times New Roman"/>
              </w:rPr>
            </w:pPr>
            <w:r>
              <w:rPr>
                <w:rFonts w:eastAsia="Times New Roman"/>
              </w:rPr>
              <w:t>Allen J</w:t>
            </w:r>
            <w:r w:rsidR="00FA2957">
              <w:rPr>
                <w:rFonts w:eastAsia="Times New Roman"/>
                <w:vertAlign w:val="superscript"/>
              </w:rPr>
              <w:t>23</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2009</w:t>
            </w:r>
          </w:p>
        </w:tc>
        <w:tc>
          <w:tcPr>
            <w:tcW w:w="799" w:type="pct"/>
            <w:vAlign w:val="center"/>
          </w:tcPr>
          <w:p w:rsidR="003407F1" w:rsidRPr="006D0572" w:rsidRDefault="003407F1" w:rsidP="00225F59">
            <w:pPr>
              <w:jc w:val="center"/>
              <w:rPr>
                <w:rFonts w:eastAsia="Times New Roman"/>
              </w:rPr>
            </w:pPr>
            <w:r w:rsidRPr="006D0572">
              <w:rPr>
                <w:rFonts w:eastAsia="Times New Roman"/>
              </w:rPr>
              <w:t>Australia</w:t>
            </w:r>
          </w:p>
        </w:tc>
        <w:tc>
          <w:tcPr>
            <w:tcW w:w="1351" w:type="pct"/>
            <w:noWrap/>
            <w:vAlign w:val="center"/>
          </w:tcPr>
          <w:p w:rsidR="003407F1" w:rsidRPr="006D0572" w:rsidRDefault="0083483F" w:rsidP="00225F59">
            <w:pPr>
              <w:jc w:val="center"/>
              <w:rPr>
                <w:rFonts w:eastAsia="Times New Roman"/>
              </w:rPr>
            </w:pPr>
            <w:r>
              <w:rPr>
                <w:rFonts w:eastAsia="Times New Roman"/>
              </w:rPr>
              <w:t xml:space="preserve">Sin dato </w:t>
            </w:r>
            <w:r w:rsidR="003407F1" w:rsidRPr="008371CE">
              <w:rPr>
                <w:rFonts w:eastAsia="Times New Roman"/>
              </w:rPr>
              <w:t>(≥18)</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41</w:t>
            </w:r>
          </w:p>
        </w:tc>
        <w:tc>
          <w:tcPr>
            <w:tcW w:w="1045" w:type="pct"/>
            <w:vAlign w:val="center"/>
          </w:tcPr>
          <w:p w:rsidR="003407F1" w:rsidRPr="003407F1" w:rsidRDefault="003407F1" w:rsidP="00225F59">
            <w:pPr>
              <w:jc w:val="center"/>
              <w:rPr>
                <w:rFonts w:eastAsia="Times New Roman"/>
              </w:rPr>
            </w:pPr>
            <w:r w:rsidRPr="003407F1">
              <w:rPr>
                <w:rFonts w:eastAsia="Times New Roman"/>
              </w:rPr>
              <w:t>2,0</w:t>
            </w:r>
            <w:r w:rsidR="009C3726">
              <w:rPr>
                <w:rFonts w:eastAsia="Times New Roman"/>
              </w:rPr>
              <w:t>(1,4 – 2,7)</w:t>
            </w:r>
          </w:p>
        </w:tc>
      </w:tr>
      <w:tr w:rsidR="00427E23" w:rsidRPr="006D0572" w:rsidTr="00550EE7">
        <w:trPr>
          <w:trHeight w:val="375"/>
        </w:trPr>
        <w:tc>
          <w:tcPr>
            <w:tcW w:w="894" w:type="pct"/>
            <w:noWrap/>
            <w:vAlign w:val="center"/>
            <w:hideMark/>
          </w:tcPr>
          <w:p w:rsidR="003407F1" w:rsidRPr="006D0572" w:rsidRDefault="003407F1" w:rsidP="006A48D0">
            <w:pPr>
              <w:jc w:val="left"/>
              <w:rPr>
                <w:rFonts w:eastAsia="Times New Roman"/>
              </w:rPr>
            </w:pPr>
            <w:r>
              <w:rPr>
                <w:rFonts w:eastAsia="Times New Roman"/>
              </w:rPr>
              <w:t>Yen C</w:t>
            </w:r>
            <w:r w:rsidR="00FA2957">
              <w:rPr>
                <w:rFonts w:eastAsia="Times New Roman"/>
                <w:vertAlign w:val="superscript"/>
              </w:rPr>
              <w:t>24</w:t>
            </w:r>
          </w:p>
        </w:tc>
        <w:tc>
          <w:tcPr>
            <w:tcW w:w="404" w:type="pct"/>
            <w:noWrap/>
            <w:vAlign w:val="center"/>
            <w:hideMark/>
          </w:tcPr>
          <w:p w:rsidR="003407F1" w:rsidRPr="006D0572" w:rsidRDefault="003407F1" w:rsidP="00225F59">
            <w:pPr>
              <w:jc w:val="center"/>
              <w:rPr>
                <w:rFonts w:eastAsia="Times New Roman"/>
              </w:rPr>
            </w:pPr>
            <w:r w:rsidRPr="006D0572">
              <w:rPr>
                <w:rFonts w:eastAsia="Times New Roman"/>
              </w:rPr>
              <w:t>2004</w:t>
            </w:r>
          </w:p>
        </w:tc>
        <w:tc>
          <w:tcPr>
            <w:tcW w:w="799" w:type="pct"/>
            <w:vAlign w:val="center"/>
          </w:tcPr>
          <w:p w:rsidR="003407F1" w:rsidRPr="006D0572" w:rsidRDefault="003407F1" w:rsidP="00225F59">
            <w:pPr>
              <w:jc w:val="center"/>
              <w:rPr>
                <w:rFonts w:eastAsia="Times New Roman"/>
              </w:rPr>
            </w:pPr>
            <w:r w:rsidRPr="006D0572">
              <w:rPr>
                <w:rFonts w:eastAsia="Times New Roman"/>
              </w:rPr>
              <w:t>China</w:t>
            </w:r>
          </w:p>
        </w:tc>
        <w:tc>
          <w:tcPr>
            <w:tcW w:w="1351" w:type="pct"/>
            <w:noWrap/>
            <w:vAlign w:val="center"/>
          </w:tcPr>
          <w:p w:rsidR="003407F1" w:rsidRPr="00DB3820" w:rsidRDefault="003407F1" w:rsidP="00225F59">
            <w:pPr>
              <w:jc w:val="center"/>
              <w:rPr>
                <w:rFonts w:eastAsia="Times New Roman"/>
              </w:rPr>
            </w:pPr>
            <w:r w:rsidRPr="00DB3820">
              <w:rPr>
                <w:rFonts w:eastAsia="Times New Roman"/>
              </w:rPr>
              <w:t>33,4(22-66)</w:t>
            </w:r>
          </w:p>
        </w:tc>
        <w:tc>
          <w:tcPr>
            <w:tcW w:w="506" w:type="pct"/>
            <w:noWrap/>
            <w:vAlign w:val="center"/>
            <w:hideMark/>
          </w:tcPr>
          <w:p w:rsidR="003407F1" w:rsidRPr="006D0572" w:rsidRDefault="003407F1" w:rsidP="00225F59">
            <w:pPr>
              <w:jc w:val="center"/>
              <w:rPr>
                <w:rFonts w:eastAsia="Times New Roman"/>
              </w:rPr>
            </w:pPr>
            <w:r w:rsidRPr="006D0572">
              <w:rPr>
                <w:rFonts w:eastAsia="Times New Roman"/>
              </w:rPr>
              <w:t>41</w:t>
            </w:r>
          </w:p>
        </w:tc>
        <w:tc>
          <w:tcPr>
            <w:tcW w:w="1045" w:type="pct"/>
            <w:vAlign w:val="center"/>
          </w:tcPr>
          <w:p w:rsidR="003407F1" w:rsidRPr="009C3726" w:rsidRDefault="003407F1" w:rsidP="00225F59">
            <w:pPr>
              <w:jc w:val="center"/>
            </w:pPr>
            <w:r w:rsidRPr="003407F1">
              <w:rPr>
                <w:rFonts w:eastAsia="Times New Roman"/>
              </w:rPr>
              <w:t>2,0</w:t>
            </w:r>
            <w:r w:rsidR="009C3726">
              <w:rPr>
                <w:rFonts w:eastAsia="Times New Roman"/>
              </w:rPr>
              <w:t>(1,4 – 2,7)</w:t>
            </w:r>
          </w:p>
        </w:tc>
      </w:tr>
      <w:tr w:rsidR="00427E23" w:rsidRPr="006D0572" w:rsidTr="00550EE7">
        <w:trPr>
          <w:trHeight w:val="300"/>
        </w:trPr>
        <w:tc>
          <w:tcPr>
            <w:tcW w:w="894" w:type="pct"/>
            <w:noWrap/>
            <w:vAlign w:val="center"/>
            <w:hideMark/>
          </w:tcPr>
          <w:p w:rsidR="00E753E8" w:rsidRPr="00207D63" w:rsidRDefault="00E753E8" w:rsidP="006A48D0">
            <w:pPr>
              <w:jc w:val="left"/>
              <w:rPr>
                <w:rFonts w:eastAsia="Times New Roman"/>
                <w:highlight w:val="yellow"/>
              </w:rPr>
            </w:pPr>
          </w:p>
        </w:tc>
        <w:tc>
          <w:tcPr>
            <w:tcW w:w="404" w:type="pct"/>
            <w:noWrap/>
            <w:vAlign w:val="center"/>
            <w:hideMark/>
          </w:tcPr>
          <w:p w:rsidR="00E753E8" w:rsidRPr="00207D63" w:rsidRDefault="00E753E8" w:rsidP="00225F59">
            <w:pPr>
              <w:jc w:val="center"/>
              <w:rPr>
                <w:rFonts w:eastAsia="Times New Roman"/>
                <w:highlight w:val="yellow"/>
              </w:rPr>
            </w:pPr>
          </w:p>
        </w:tc>
        <w:tc>
          <w:tcPr>
            <w:tcW w:w="799" w:type="pct"/>
            <w:vAlign w:val="center"/>
          </w:tcPr>
          <w:p w:rsidR="00E753E8" w:rsidRPr="006A48D0" w:rsidRDefault="00427E23" w:rsidP="00225F59">
            <w:pPr>
              <w:jc w:val="center"/>
              <w:rPr>
                <w:rFonts w:eastAsia="Times New Roman"/>
                <w:b/>
                <w:highlight w:val="yellow"/>
              </w:rPr>
            </w:pPr>
            <w:r w:rsidRPr="006A48D0">
              <w:rPr>
                <w:rFonts w:eastAsia="Times New Roman"/>
                <w:b/>
              </w:rPr>
              <w:t>TOTAL</w:t>
            </w:r>
          </w:p>
        </w:tc>
        <w:tc>
          <w:tcPr>
            <w:tcW w:w="1351" w:type="pct"/>
            <w:noWrap/>
            <w:vAlign w:val="center"/>
            <w:hideMark/>
          </w:tcPr>
          <w:p w:rsidR="00E753E8" w:rsidRPr="00DB3820" w:rsidRDefault="00DB3820" w:rsidP="00225F59">
            <w:pPr>
              <w:jc w:val="center"/>
              <w:rPr>
                <w:rFonts w:eastAsia="Times New Roman"/>
              </w:rPr>
            </w:pPr>
            <w:r w:rsidRPr="00DB3820">
              <w:rPr>
                <w:rFonts w:eastAsia="Times New Roman"/>
              </w:rPr>
              <w:t>40,2</w:t>
            </w:r>
            <w:r w:rsidR="00427E23" w:rsidRPr="00DB3820">
              <w:rPr>
                <w:rFonts w:eastAsia="Times New Roman"/>
              </w:rPr>
              <w:t xml:space="preserve"> (18-87)</w:t>
            </w:r>
          </w:p>
        </w:tc>
        <w:tc>
          <w:tcPr>
            <w:tcW w:w="506" w:type="pct"/>
            <w:noWrap/>
            <w:vAlign w:val="center"/>
            <w:hideMark/>
          </w:tcPr>
          <w:p w:rsidR="00E753E8" w:rsidRPr="00427E23" w:rsidRDefault="00E753E8" w:rsidP="00225F59">
            <w:pPr>
              <w:jc w:val="center"/>
              <w:rPr>
                <w:rFonts w:eastAsia="Times New Roman"/>
              </w:rPr>
            </w:pPr>
            <w:r w:rsidRPr="00427E23">
              <w:rPr>
                <w:rFonts w:eastAsia="Times New Roman"/>
              </w:rPr>
              <w:t>20</w:t>
            </w:r>
            <w:r w:rsidR="003407F1" w:rsidRPr="00427E23">
              <w:rPr>
                <w:rFonts w:eastAsia="Times New Roman"/>
              </w:rPr>
              <w:t>13</w:t>
            </w:r>
          </w:p>
        </w:tc>
        <w:tc>
          <w:tcPr>
            <w:tcW w:w="1045" w:type="pct"/>
            <w:vAlign w:val="center"/>
          </w:tcPr>
          <w:p w:rsidR="00E753E8" w:rsidRPr="002B1DA7" w:rsidRDefault="00E753E8" w:rsidP="00225F59">
            <w:pPr>
              <w:jc w:val="center"/>
              <w:rPr>
                <w:rFonts w:eastAsia="Times New Roman"/>
              </w:rPr>
            </w:pPr>
          </w:p>
        </w:tc>
      </w:tr>
    </w:tbl>
    <w:p w:rsidR="004D1170" w:rsidRDefault="004D1170" w:rsidP="00E61731"/>
    <w:p w:rsidR="00E357EB" w:rsidRDefault="00550EE7" w:rsidP="00E61731">
      <w:r>
        <w:br w:type="page"/>
      </w:r>
    </w:p>
    <w:p w:rsidR="00B83F1E" w:rsidRPr="00225F59" w:rsidRDefault="00FA2957" w:rsidP="00E61731">
      <w:pPr>
        <w:rPr>
          <w:b/>
        </w:rPr>
      </w:pPr>
      <w:r w:rsidRPr="00225F59">
        <w:rPr>
          <w:b/>
        </w:rPr>
        <w:lastRenderedPageBreak/>
        <w:t>T</w:t>
      </w:r>
      <w:r w:rsidR="006D0572" w:rsidRPr="00225F59">
        <w:rPr>
          <w:b/>
        </w:rPr>
        <w:t xml:space="preserve">abla 2. </w:t>
      </w:r>
      <w:r w:rsidR="00565017" w:rsidRPr="00225F59">
        <w:rPr>
          <w:b/>
        </w:rPr>
        <w:t>Descripción de las principales enfermedades</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768"/>
        <w:gridCol w:w="2129"/>
        <w:gridCol w:w="1702"/>
        <w:gridCol w:w="1275"/>
        <w:gridCol w:w="2336"/>
      </w:tblGrid>
      <w:tr w:rsidR="00FA54E6" w:rsidRPr="00225F59" w:rsidTr="002C269A">
        <w:trPr>
          <w:trHeight w:val="300"/>
        </w:trPr>
        <w:tc>
          <w:tcPr>
            <w:tcW w:w="960" w:type="pct"/>
            <w:shd w:val="clear" w:color="auto" w:fill="auto"/>
            <w:noWrap/>
            <w:vAlign w:val="bottom"/>
            <w:hideMark/>
          </w:tcPr>
          <w:p w:rsidR="00FA54E6" w:rsidRPr="00225F59" w:rsidRDefault="00FA54E6" w:rsidP="00E61731">
            <w:pPr>
              <w:rPr>
                <w:rFonts w:eastAsia="Times New Roman"/>
                <w:b/>
              </w:rPr>
            </w:pPr>
            <w:r w:rsidRPr="00225F59">
              <w:rPr>
                <w:rFonts w:eastAsia="Times New Roman"/>
                <w:b/>
              </w:rPr>
              <w:t>Enfermedad</w:t>
            </w:r>
          </w:p>
        </w:tc>
        <w:tc>
          <w:tcPr>
            <w:tcW w:w="1156" w:type="pct"/>
            <w:shd w:val="clear" w:color="auto" w:fill="auto"/>
            <w:noWrap/>
            <w:vAlign w:val="bottom"/>
            <w:hideMark/>
          </w:tcPr>
          <w:p w:rsidR="00FA54E6" w:rsidRPr="00225F59" w:rsidRDefault="00FA54E6" w:rsidP="00E61731">
            <w:pPr>
              <w:rPr>
                <w:rFonts w:eastAsia="Times New Roman"/>
                <w:b/>
              </w:rPr>
            </w:pPr>
            <w:r w:rsidRPr="00225F59">
              <w:rPr>
                <w:rFonts w:eastAsia="Times New Roman"/>
                <w:b/>
              </w:rPr>
              <w:t>Autor</w:t>
            </w:r>
          </w:p>
        </w:tc>
        <w:tc>
          <w:tcPr>
            <w:tcW w:w="924" w:type="pct"/>
            <w:shd w:val="clear" w:color="auto" w:fill="auto"/>
            <w:noWrap/>
            <w:vAlign w:val="bottom"/>
            <w:hideMark/>
          </w:tcPr>
          <w:p w:rsidR="00FA54E6" w:rsidRPr="00225F59" w:rsidRDefault="009C7616" w:rsidP="00225F59">
            <w:pPr>
              <w:jc w:val="center"/>
              <w:rPr>
                <w:rFonts w:eastAsia="Times New Roman"/>
                <w:b/>
              </w:rPr>
            </w:pPr>
            <w:r w:rsidRPr="00225F59">
              <w:rPr>
                <w:rFonts w:eastAsia="Times New Roman"/>
                <w:b/>
              </w:rPr>
              <w:t>#</w:t>
            </w:r>
          </w:p>
        </w:tc>
        <w:tc>
          <w:tcPr>
            <w:tcW w:w="692" w:type="pct"/>
            <w:shd w:val="clear" w:color="auto" w:fill="auto"/>
            <w:noWrap/>
            <w:vAlign w:val="bottom"/>
            <w:hideMark/>
          </w:tcPr>
          <w:p w:rsidR="00FA54E6" w:rsidRPr="00225F59" w:rsidRDefault="009C7616" w:rsidP="00225F59">
            <w:pPr>
              <w:jc w:val="center"/>
              <w:rPr>
                <w:rFonts w:eastAsia="Times New Roman"/>
                <w:b/>
              </w:rPr>
            </w:pPr>
            <w:r w:rsidRPr="00225F59">
              <w:rPr>
                <w:rFonts w:eastAsia="Times New Roman"/>
                <w:b/>
              </w:rPr>
              <w:t>#</w:t>
            </w:r>
          </w:p>
        </w:tc>
        <w:tc>
          <w:tcPr>
            <w:tcW w:w="1268" w:type="pct"/>
            <w:shd w:val="clear" w:color="auto" w:fill="auto"/>
            <w:noWrap/>
            <w:vAlign w:val="bottom"/>
            <w:hideMark/>
          </w:tcPr>
          <w:p w:rsidR="00FA54E6" w:rsidRPr="00225F59" w:rsidRDefault="00FA54E6" w:rsidP="00225F59">
            <w:pPr>
              <w:jc w:val="center"/>
              <w:rPr>
                <w:rFonts w:eastAsia="Times New Roman"/>
                <w:b/>
              </w:rPr>
            </w:pPr>
            <w:r w:rsidRPr="00225F59">
              <w:rPr>
                <w:rFonts w:eastAsia="Times New Roman"/>
                <w:b/>
              </w:rPr>
              <w:t>%</w:t>
            </w:r>
            <w:r w:rsidR="00550EE7" w:rsidRPr="00225F59">
              <w:rPr>
                <w:rFonts w:eastAsia="Times New Roman"/>
                <w:b/>
              </w:rPr>
              <w:t xml:space="preserve"> </w:t>
            </w:r>
            <w:r w:rsidRPr="00225F59">
              <w:rPr>
                <w:rFonts w:eastAsia="Times New Roman"/>
                <w:b/>
              </w:rPr>
              <w:t>(IC</w:t>
            </w:r>
            <w:r w:rsidR="00B83F1E" w:rsidRPr="00225F59">
              <w:rPr>
                <w:rFonts w:eastAsia="Times New Roman"/>
                <w:b/>
              </w:rPr>
              <w:t>95%</w:t>
            </w:r>
            <w:r w:rsidRPr="00225F59">
              <w:rPr>
                <w:rFonts w:eastAsia="Times New Roman"/>
                <w:b/>
              </w:rPr>
              <w:t>)</w:t>
            </w:r>
          </w:p>
        </w:tc>
      </w:tr>
      <w:tr w:rsidR="00B83F1E" w:rsidRPr="006D0572" w:rsidTr="002C269A">
        <w:trPr>
          <w:trHeight w:val="300"/>
        </w:trPr>
        <w:tc>
          <w:tcPr>
            <w:tcW w:w="960" w:type="pct"/>
            <w:vMerge w:val="restart"/>
            <w:shd w:val="clear" w:color="auto" w:fill="auto"/>
            <w:noWrap/>
            <w:vAlign w:val="center"/>
            <w:hideMark/>
          </w:tcPr>
          <w:p w:rsidR="00B83F1E" w:rsidRPr="00225F59" w:rsidRDefault="00B83F1E" w:rsidP="00E61731">
            <w:pPr>
              <w:rPr>
                <w:rFonts w:eastAsia="Times New Roman"/>
              </w:rPr>
            </w:pPr>
            <w:r w:rsidRPr="00225F59">
              <w:rPr>
                <w:rFonts w:eastAsia="Times New Roman"/>
              </w:rPr>
              <w:t>VIH</w:t>
            </w:r>
          </w:p>
        </w:tc>
        <w:tc>
          <w:tcPr>
            <w:tcW w:w="1156" w:type="pct"/>
            <w:shd w:val="clear" w:color="auto" w:fill="auto"/>
            <w:noWrap/>
            <w:vAlign w:val="bottom"/>
            <w:hideMark/>
          </w:tcPr>
          <w:p w:rsidR="00B83F1E" w:rsidRPr="006D0572" w:rsidRDefault="0093283B" w:rsidP="00E61731">
            <w:pPr>
              <w:rPr>
                <w:rFonts w:eastAsia="Times New Roman"/>
              </w:rPr>
            </w:pPr>
            <w:r>
              <w:rPr>
                <w:rFonts w:eastAsia="Times New Roman"/>
              </w:rPr>
              <w:t>MorandiE</w:t>
            </w:r>
            <w:r w:rsidR="00FA2957">
              <w:rPr>
                <w:rFonts w:eastAsia="Times New Roman"/>
                <w:vertAlign w:val="superscript"/>
              </w:rPr>
              <w:t>11</w:t>
            </w:r>
          </w:p>
        </w:tc>
        <w:tc>
          <w:tcPr>
            <w:tcW w:w="924" w:type="pct"/>
            <w:shd w:val="clear" w:color="auto" w:fill="auto"/>
            <w:noWrap/>
            <w:vAlign w:val="bottom"/>
            <w:hideMark/>
          </w:tcPr>
          <w:p w:rsidR="00B83F1E" w:rsidRPr="006D0572" w:rsidRDefault="00B83F1E" w:rsidP="00225F59">
            <w:pPr>
              <w:jc w:val="center"/>
              <w:rPr>
                <w:rFonts w:eastAsia="Times New Roman"/>
              </w:rPr>
            </w:pPr>
            <w:r w:rsidRPr="006D0572">
              <w:rPr>
                <w:rFonts w:eastAsia="Times New Roman"/>
              </w:rPr>
              <w:t>365</w:t>
            </w:r>
          </w:p>
        </w:tc>
        <w:tc>
          <w:tcPr>
            <w:tcW w:w="692" w:type="pct"/>
            <w:vMerge w:val="restart"/>
            <w:shd w:val="clear" w:color="auto" w:fill="auto"/>
            <w:noWrap/>
            <w:vAlign w:val="center"/>
            <w:hideMark/>
          </w:tcPr>
          <w:p w:rsidR="00B83F1E" w:rsidRPr="009C139D" w:rsidRDefault="00083FAA" w:rsidP="00225F59">
            <w:pPr>
              <w:jc w:val="center"/>
              <w:rPr>
                <w:rFonts w:eastAsia="Times New Roman"/>
              </w:rPr>
            </w:pPr>
            <w:r w:rsidRPr="009C139D">
              <w:rPr>
                <w:rFonts w:eastAsia="Times New Roman"/>
              </w:rPr>
              <w:t>958</w:t>
            </w:r>
          </w:p>
        </w:tc>
        <w:tc>
          <w:tcPr>
            <w:tcW w:w="1268" w:type="pct"/>
            <w:vMerge w:val="restart"/>
            <w:shd w:val="clear" w:color="auto" w:fill="auto"/>
            <w:noWrap/>
            <w:vAlign w:val="center"/>
            <w:hideMark/>
          </w:tcPr>
          <w:p w:rsidR="00B83F1E" w:rsidRPr="009C139D" w:rsidRDefault="00083FAA" w:rsidP="00225F59">
            <w:pPr>
              <w:jc w:val="center"/>
              <w:rPr>
                <w:rFonts w:eastAsia="Times New Roman"/>
              </w:rPr>
            </w:pPr>
            <w:r w:rsidRPr="009C139D">
              <w:rPr>
                <w:rFonts w:eastAsia="Times New Roman"/>
              </w:rPr>
              <w:t xml:space="preserve">47,6 </w:t>
            </w:r>
            <w:r w:rsidR="00B83F1E" w:rsidRPr="009C139D">
              <w:rPr>
                <w:rFonts w:eastAsia="Times New Roman"/>
              </w:rPr>
              <w:t>(</w:t>
            </w:r>
            <w:r w:rsidR="009C139D">
              <w:rPr>
                <w:rFonts w:eastAsia="Times New Roman"/>
              </w:rPr>
              <w:t>45,4 – 49,8</w:t>
            </w:r>
            <w:r w:rsidR="00B83F1E" w:rsidRPr="009C139D">
              <w:rPr>
                <w:rFonts w:eastAsia="Times New Roman"/>
              </w:rPr>
              <w:t>)</w:t>
            </w:r>
          </w:p>
        </w:tc>
      </w:tr>
      <w:tr w:rsidR="00B83F1E"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9" w:author="Ibeth" w:date="2013-02-28T17:11:00Z">
                  <w:rPr>
                    <w:rFonts w:eastAsia="Times New Roman"/>
                  </w:rPr>
                </w:rPrChange>
              </w:rPr>
            </w:pPr>
          </w:p>
        </w:tc>
        <w:tc>
          <w:tcPr>
            <w:tcW w:w="1156" w:type="pct"/>
            <w:shd w:val="clear" w:color="auto" w:fill="auto"/>
            <w:noWrap/>
            <w:vAlign w:val="bottom"/>
            <w:hideMark/>
          </w:tcPr>
          <w:p w:rsidR="00E357EB" w:rsidRDefault="00B83F1E" w:rsidP="00E61731">
            <w:pPr>
              <w:rPr>
                <w:rFonts w:eastAsia="Times New Roman"/>
              </w:rPr>
            </w:pPr>
            <w:r w:rsidRPr="006D0572">
              <w:rPr>
                <w:rFonts w:eastAsia="Times New Roman"/>
              </w:rPr>
              <w:t xml:space="preserve">Cardona </w:t>
            </w:r>
            <w:r w:rsidR="00384491">
              <w:rPr>
                <w:rFonts w:eastAsia="Times New Roman"/>
              </w:rPr>
              <w:t>J</w:t>
            </w:r>
            <w:r w:rsidR="00FA2957">
              <w:rPr>
                <w:rFonts w:eastAsia="Times New Roman"/>
                <w:vertAlign w:val="superscript"/>
              </w:rPr>
              <w:t>1</w:t>
            </w:r>
            <w:r w:rsidR="009239A9">
              <w:rPr>
                <w:rFonts w:eastAsia="Times New Roman"/>
                <w:vertAlign w:val="superscript"/>
              </w:rPr>
              <w:t>4</w:t>
            </w:r>
          </w:p>
        </w:tc>
        <w:tc>
          <w:tcPr>
            <w:tcW w:w="924" w:type="pct"/>
            <w:shd w:val="clear" w:color="auto" w:fill="auto"/>
            <w:noWrap/>
            <w:vAlign w:val="bottom"/>
            <w:hideMark/>
          </w:tcPr>
          <w:p w:rsidR="00E357EB" w:rsidRDefault="00B83F1E" w:rsidP="00225F59">
            <w:pPr>
              <w:jc w:val="center"/>
              <w:rPr>
                <w:rFonts w:eastAsia="Times New Roman"/>
              </w:rPr>
            </w:pPr>
            <w:r w:rsidRPr="006D0572">
              <w:rPr>
                <w:rFonts w:eastAsia="Times New Roman"/>
              </w:rPr>
              <w:t>187</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0" w:author="Ibeth" w:date="2013-02-28T17:11:00Z">
                  <w:rPr>
                    <w:rFonts w:eastAsia="Times New Roman"/>
                  </w:rPr>
                </w:rPrChange>
              </w:rPr>
            </w:pPr>
          </w:p>
        </w:tc>
        <w:tc>
          <w:tcPr>
            <w:tcW w:w="1156" w:type="pct"/>
            <w:shd w:val="clear" w:color="auto" w:fill="auto"/>
            <w:noWrap/>
            <w:vAlign w:val="bottom"/>
          </w:tcPr>
          <w:p w:rsidR="00E357EB" w:rsidRDefault="00207D63" w:rsidP="00E61731">
            <w:pPr>
              <w:rPr>
                <w:rFonts w:eastAsia="Times New Roman"/>
              </w:rPr>
            </w:pPr>
            <w:proofErr w:type="spellStart"/>
            <w:r w:rsidRPr="006D0572">
              <w:rPr>
                <w:rFonts w:eastAsia="Times New Roman"/>
              </w:rPr>
              <w:t>Mkangara</w:t>
            </w:r>
            <w:proofErr w:type="spellEnd"/>
            <w:r w:rsidR="009239A9">
              <w:rPr>
                <w:rFonts w:eastAsia="Times New Roman"/>
              </w:rPr>
              <w:t xml:space="preserve"> </w:t>
            </w:r>
            <w:r w:rsidRPr="006D0572">
              <w:rPr>
                <w:rFonts w:eastAsia="Times New Roman"/>
              </w:rPr>
              <w:t>O</w:t>
            </w:r>
            <w:r w:rsidR="00FA2957" w:rsidRPr="009239A9">
              <w:rPr>
                <w:rFonts w:eastAsia="Times New Roman"/>
                <w:vertAlign w:val="superscript"/>
              </w:rPr>
              <w:t>1</w:t>
            </w:r>
            <w:r w:rsidR="009239A9">
              <w:rPr>
                <w:rFonts w:eastAsia="Times New Roman"/>
                <w:vertAlign w:val="superscript"/>
              </w:rPr>
              <w:t>6</w:t>
            </w:r>
          </w:p>
        </w:tc>
        <w:tc>
          <w:tcPr>
            <w:tcW w:w="924" w:type="pct"/>
            <w:shd w:val="clear" w:color="auto" w:fill="auto"/>
            <w:noWrap/>
            <w:vAlign w:val="bottom"/>
          </w:tcPr>
          <w:p w:rsidR="00E357EB" w:rsidRDefault="00207D63" w:rsidP="00225F59">
            <w:pPr>
              <w:jc w:val="center"/>
              <w:rPr>
                <w:rFonts w:eastAsia="Times New Roman"/>
              </w:rPr>
            </w:pPr>
            <w:r w:rsidRPr="006D0572">
              <w:rPr>
                <w:rFonts w:eastAsia="Times New Roman"/>
              </w:rPr>
              <w:t>136</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1" w:author="Ibeth" w:date="2013-02-28T17:11:00Z">
                  <w:rPr>
                    <w:rFonts w:eastAsia="Times New Roman"/>
                  </w:rPr>
                </w:rPrChange>
              </w:rPr>
            </w:pPr>
          </w:p>
        </w:tc>
        <w:tc>
          <w:tcPr>
            <w:tcW w:w="1156" w:type="pct"/>
            <w:shd w:val="clear" w:color="auto" w:fill="auto"/>
            <w:noWrap/>
            <w:vAlign w:val="bottom"/>
          </w:tcPr>
          <w:p w:rsidR="00E357EB" w:rsidRDefault="00207D63" w:rsidP="00E61731">
            <w:pPr>
              <w:rPr>
                <w:rFonts w:eastAsia="Times New Roman"/>
              </w:rPr>
            </w:pPr>
            <w:proofErr w:type="spellStart"/>
            <w:r w:rsidRPr="006D0572">
              <w:rPr>
                <w:rFonts w:eastAsia="Times New Roman"/>
              </w:rPr>
              <w:t>Sakthong</w:t>
            </w:r>
            <w:proofErr w:type="spellEnd"/>
            <w:r w:rsidR="009239A9">
              <w:rPr>
                <w:rFonts w:eastAsia="Times New Roman"/>
              </w:rPr>
              <w:t xml:space="preserve"> </w:t>
            </w:r>
            <w:r w:rsidRPr="006D0572">
              <w:rPr>
                <w:rFonts w:eastAsia="Times New Roman"/>
              </w:rPr>
              <w:t>P</w:t>
            </w:r>
            <w:r w:rsidR="00FA2957">
              <w:rPr>
                <w:rFonts w:eastAsia="Times New Roman"/>
                <w:vertAlign w:val="superscript"/>
              </w:rPr>
              <w:t>1</w:t>
            </w:r>
            <w:r w:rsidR="009239A9">
              <w:rPr>
                <w:rFonts w:eastAsia="Times New Roman"/>
                <w:vertAlign w:val="superscript"/>
              </w:rPr>
              <w:t>7</w:t>
            </w:r>
          </w:p>
        </w:tc>
        <w:tc>
          <w:tcPr>
            <w:tcW w:w="924" w:type="pct"/>
            <w:shd w:val="clear" w:color="auto" w:fill="auto"/>
            <w:noWrap/>
            <w:vAlign w:val="bottom"/>
          </w:tcPr>
          <w:p w:rsidR="00E357EB" w:rsidRDefault="00207D63" w:rsidP="00225F59">
            <w:pPr>
              <w:jc w:val="center"/>
              <w:rPr>
                <w:rFonts w:eastAsia="Times New Roman"/>
              </w:rPr>
            </w:pPr>
            <w:r w:rsidRPr="006D0572">
              <w:rPr>
                <w:rFonts w:eastAsia="Times New Roman"/>
              </w:rPr>
              <w:t>120</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2" w:author="Ibeth" w:date="2013-02-28T17:11:00Z">
                  <w:rPr>
                    <w:rFonts w:eastAsia="Times New Roman"/>
                  </w:rPr>
                </w:rPrChange>
              </w:rPr>
            </w:pPr>
          </w:p>
        </w:tc>
        <w:tc>
          <w:tcPr>
            <w:tcW w:w="1156" w:type="pct"/>
            <w:shd w:val="clear" w:color="auto" w:fill="auto"/>
            <w:noWrap/>
            <w:vAlign w:val="bottom"/>
          </w:tcPr>
          <w:p w:rsidR="00E357EB" w:rsidRDefault="00207D63" w:rsidP="00E61731">
            <w:pPr>
              <w:rPr>
                <w:rFonts w:eastAsia="Times New Roman"/>
              </w:rPr>
            </w:pPr>
            <w:proofErr w:type="spellStart"/>
            <w:r w:rsidRPr="006D0572">
              <w:rPr>
                <w:rFonts w:eastAsia="Times New Roman"/>
              </w:rPr>
              <w:t>Naveet</w:t>
            </w:r>
            <w:proofErr w:type="spellEnd"/>
            <w:r w:rsidR="009239A9">
              <w:rPr>
                <w:rFonts w:eastAsia="Times New Roman"/>
              </w:rPr>
              <w:t xml:space="preserve"> </w:t>
            </w:r>
            <w:r w:rsidRPr="006D0572">
              <w:rPr>
                <w:rFonts w:eastAsia="Times New Roman"/>
              </w:rPr>
              <w:t>W</w:t>
            </w:r>
            <w:r w:rsidR="009239A9" w:rsidRPr="009E2721">
              <w:rPr>
                <w:rFonts w:eastAsia="Times New Roman"/>
                <w:vertAlign w:val="superscript"/>
              </w:rPr>
              <w:t>2</w:t>
            </w:r>
            <w:r w:rsidR="00FA2957">
              <w:rPr>
                <w:rFonts w:eastAsia="Times New Roman"/>
                <w:vertAlign w:val="superscript"/>
              </w:rPr>
              <w:t>1</w:t>
            </w:r>
          </w:p>
        </w:tc>
        <w:tc>
          <w:tcPr>
            <w:tcW w:w="924" w:type="pct"/>
            <w:shd w:val="clear" w:color="auto" w:fill="auto"/>
            <w:noWrap/>
            <w:vAlign w:val="bottom"/>
          </w:tcPr>
          <w:p w:rsidR="00E357EB" w:rsidRDefault="00207D63" w:rsidP="00225F59">
            <w:pPr>
              <w:jc w:val="center"/>
              <w:rPr>
                <w:rFonts w:eastAsia="Times New Roman"/>
              </w:rPr>
            </w:pPr>
            <w:r w:rsidRPr="006D0572">
              <w:rPr>
                <w:rFonts w:eastAsia="Times New Roman"/>
              </w:rPr>
              <w:t>68</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3" w:author="Ibeth" w:date="2013-02-28T17:11:00Z">
                  <w:rPr>
                    <w:rFonts w:eastAsia="Times New Roman"/>
                  </w:rPr>
                </w:rPrChange>
              </w:rPr>
            </w:pPr>
          </w:p>
        </w:tc>
        <w:tc>
          <w:tcPr>
            <w:tcW w:w="1156" w:type="pct"/>
            <w:shd w:val="clear" w:color="auto" w:fill="auto"/>
            <w:noWrap/>
            <w:vAlign w:val="bottom"/>
          </w:tcPr>
          <w:p w:rsidR="00E357EB" w:rsidRDefault="00207D63" w:rsidP="00E61731">
            <w:pPr>
              <w:rPr>
                <w:rFonts w:eastAsia="Times New Roman"/>
              </w:rPr>
            </w:pPr>
            <w:r w:rsidRPr="006D0572">
              <w:rPr>
                <w:rFonts w:eastAsia="Times New Roman"/>
              </w:rPr>
              <w:t>Yen C</w:t>
            </w:r>
            <w:r w:rsidR="009239A9">
              <w:rPr>
                <w:rFonts w:eastAsia="Times New Roman"/>
                <w:vertAlign w:val="superscript"/>
              </w:rPr>
              <w:t>24</w:t>
            </w:r>
          </w:p>
        </w:tc>
        <w:tc>
          <w:tcPr>
            <w:tcW w:w="924" w:type="pct"/>
            <w:shd w:val="clear" w:color="auto" w:fill="auto"/>
            <w:noWrap/>
            <w:vAlign w:val="bottom"/>
          </w:tcPr>
          <w:p w:rsidR="00E357EB" w:rsidRDefault="00207D63" w:rsidP="00225F59">
            <w:pPr>
              <w:jc w:val="center"/>
              <w:rPr>
                <w:rFonts w:eastAsia="Times New Roman"/>
              </w:rPr>
            </w:pPr>
            <w:r w:rsidRPr="006D0572">
              <w:rPr>
                <w:rFonts w:eastAsia="Times New Roman"/>
              </w:rPr>
              <w:t>41</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4" w:author="Ibeth" w:date="2013-02-28T17:11:00Z">
                  <w:rPr>
                    <w:rFonts w:eastAsia="Times New Roman"/>
                  </w:rPr>
                </w:rPrChange>
              </w:rPr>
            </w:pPr>
          </w:p>
        </w:tc>
        <w:tc>
          <w:tcPr>
            <w:tcW w:w="1156" w:type="pct"/>
            <w:shd w:val="clear" w:color="auto" w:fill="auto"/>
            <w:noWrap/>
            <w:vAlign w:val="bottom"/>
          </w:tcPr>
          <w:p w:rsidR="00E357EB" w:rsidRDefault="00207D63" w:rsidP="00E61731">
            <w:pPr>
              <w:rPr>
                <w:rFonts w:eastAsia="Times New Roman"/>
              </w:rPr>
            </w:pPr>
            <w:r w:rsidRPr="006D0572">
              <w:rPr>
                <w:rFonts w:eastAsia="Times New Roman"/>
              </w:rPr>
              <w:t>Allen J</w:t>
            </w:r>
            <w:r w:rsidR="009239A9">
              <w:rPr>
                <w:rFonts w:eastAsia="Times New Roman"/>
                <w:vertAlign w:val="superscript"/>
              </w:rPr>
              <w:t>23</w:t>
            </w:r>
          </w:p>
        </w:tc>
        <w:tc>
          <w:tcPr>
            <w:tcW w:w="924" w:type="pct"/>
            <w:shd w:val="clear" w:color="auto" w:fill="auto"/>
            <w:noWrap/>
            <w:vAlign w:val="bottom"/>
          </w:tcPr>
          <w:p w:rsidR="00E357EB" w:rsidRDefault="00207D63" w:rsidP="00225F59">
            <w:pPr>
              <w:jc w:val="center"/>
              <w:rPr>
                <w:rFonts w:eastAsia="Times New Roman"/>
              </w:rPr>
            </w:pPr>
            <w:r w:rsidRPr="006D0572">
              <w:rPr>
                <w:rFonts w:eastAsia="Times New Roman"/>
              </w:rPr>
              <w:t>41</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val="restart"/>
            <w:shd w:val="clear" w:color="auto" w:fill="auto"/>
            <w:noWrap/>
            <w:vAlign w:val="center"/>
            <w:hideMark/>
          </w:tcPr>
          <w:p w:rsidR="00207D63" w:rsidRPr="00225F59" w:rsidRDefault="00207D63" w:rsidP="00E61731">
            <w:pPr>
              <w:rPr>
                <w:rFonts w:eastAsia="Times New Roman"/>
              </w:rPr>
            </w:pPr>
            <w:r w:rsidRPr="00225F59">
              <w:rPr>
                <w:rFonts w:eastAsia="Times New Roman"/>
              </w:rPr>
              <w:t>Lepra</w:t>
            </w:r>
          </w:p>
        </w:tc>
        <w:tc>
          <w:tcPr>
            <w:tcW w:w="1156" w:type="pct"/>
            <w:shd w:val="clear" w:color="auto" w:fill="auto"/>
            <w:noWrap/>
            <w:vAlign w:val="bottom"/>
            <w:hideMark/>
          </w:tcPr>
          <w:p w:rsidR="00207D63" w:rsidRPr="006D0572" w:rsidRDefault="00207D63" w:rsidP="00E61731">
            <w:pPr>
              <w:rPr>
                <w:rFonts w:eastAsia="Times New Roman"/>
              </w:rPr>
            </w:pPr>
            <w:proofErr w:type="spellStart"/>
            <w:r w:rsidRPr="006D0572">
              <w:rPr>
                <w:rFonts w:eastAsia="Times New Roman"/>
              </w:rPr>
              <w:t>Tsutsumi</w:t>
            </w:r>
            <w:proofErr w:type="spellEnd"/>
            <w:r w:rsidR="009239A9">
              <w:rPr>
                <w:rFonts w:eastAsia="Times New Roman"/>
              </w:rPr>
              <w:t xml:space="preserve"> </w:t>
            </w:r>
            <w:r w:rsidRPr="006D0572">
              <w:rPr>
                <w:rFonts w:eastAsia="Times New Roman"/>
              </w:rPr>
              <w:t>A</w:t>
            </w:r>
            <w:r w:rsidR="00FA2957">
              <w:rPr>
                <w:rFonts w:eastAsia="Times New Roman"/>
                <w:vertAlign w:val="superscript"/>
              </w:rPr>
              <w:t>1</w:t>
            </w:r>
            <w:r w:rsidR="009239A9">
              <w:rPr>
                <w:rFonts w:eastAsia="Times New Roman"/>
                <w:vertAlign w:val="superscript"/>
              </w:rPr>
              <w:t>3</w:t>
            </w:r>
          </w:p>
        </w:tc>
        <w:tc>
          <w:tcPr>
            <w:tcW w:w="924" w:type="pct"/>
            <w:shd w:val="clear" w:color="auto" w:fill="auto"/>
            <w:noWrap/>
            <w:vAlign w:val="bottom"/>
            <w:hideMark/>
          </w:tcPr>
          <w:p w:rsidR="00207D63" w:rsidRPr="006D0572" w:rsidRDefault="00207D63" w:rsidP="00225F59">
            <w:pPr>
              <w:jc w:val="center"/>
              <w:rPr>
                <w:rFonts w:eastAsia="Times New Roman"/>
              </w:rPr>
            </w:pPr>
            <w:r w:rsidRPr="006D0572">
              <w:rPr>
                <w:rFonts w:eastAsia="Times New Roman"/>
              </w:rPr>
              <w:t>188</w:t>
            </w:r>
          </w:p>
        </w:tc>
        <w:tc>
          <w:tcPr>
            <w:tcW w:w="692" w:type="pct"/>
            <w:vMerge w:val="restart"/>
            <w:shd w:val="clear" w:color="auto" w:fill="auto"/>
            <w:noWrap/>
            <w:vAlign w:val="center"/>
            <w:hideMark/>
          </w:tcPr>
          <w:p w:rsidR="00207D63" w:rsidRPr="006D0572" w:rsidRDefault="00207D63" w:rsidP="00225F59">
            <w:pPr>
              <w:jc w:val="center"/>
              <w:rPr>
                <w:rFonts w:eastAsia="Times New Roman"/>
              </w:rPr>
            </w:pPr>
            <w:r w:rsidRPr="006D0572">
              <w:rPr>
                <w:rFonts w:eastAsia="Times New Roman"/>
              </w:rPr>
              <w:t>359</w:t>
            </w:r>
          </w:p>
        </w:tc>
        <w:tc>
          <w:tcPr>
            <w:tcW w:w="1268" w:type="pct"/>
            <w:vMerge w:val="restart"/>
            <w:shd w:val="clear" w:color="auto" w:fill="auto"/>
            <w:noWrap/>
            <w:vAlign w:val="center"/>
            <w:hideMark/>
          </w:tcPr>
          <w:p w:rsidR="00207D63" w:rsidRPr="006D0572" w:rsidRDefault="00207D63" w:rsidP="00225F59">
            <w:pPr>
              <w:jc w:val="center"/>
              <w:rPr>
                <w:rFonts w:eastAsia="Times New Roman"/>
              </w:rPr>
            </w:pPr>
            <w:r w:rsidRPr="006D0572">
              <w:rPr>
                <w:rFonts w:eastAsia="Times New Roman"/>
              </w:rPr>
              <w:t>1</w:t>
            </w:r>
            <w:r w:rsidR="00083FAA">
              <w:rPr>
                <w:rFonts w:eastAsia="Times New Roman"/>
              </w:rPr>
              <w:t>7</w:t>
            </w:r>
            <w:r w:rsidRPr="006D0572">
              <w:rPr>
                <w:rFonts w:eastAsia="Times New Roman"/>
              </w:rPr>
              <w:t>,</w:t>
            </w:r>
            <w:r w:rsidR="00083FAA">
              <w:rPr>
                <w:rFonts w:eastAsia="Times New Roman"/>
              </w:rPr>
              <w:t>8</w:t>
            </w:r>
            <w:r w:rsidR="00CD5E29">
              <w:rPr>
                <w:rFonts w:eastAsia="Times New Roman"/>
              </w:rPr>
              <w:t xml:space="preserve"> </w:t>
            </w:r>
            <w:r w:rsidRPr="006D0572">
              <w:rPr>
                <w:rFonts w:eastAsia="Times New Roman"/>
              </w:rPr>
              <w:t>(</w:t>
            </w:r>
            <w:r w:rsidR="009C139D">
              <w:rPr>
                <w:rFonts w:eastAsia="Times New Roman"/>
              </w:rPr>
              <w:t>16,1 – 19,5</w:t>
            </w:r>
            <w:r w:rsidRPr="006D0572">
              <w:rPr>
                <w:rFonts w:eastAsia="Times New Roman"/>
              </w:rPr>
              <w:t>)</w:t>
            </w: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5" w:author="Ibeth" w:date="2013-02-28T17:11:00Z">
                  <w:rPr>
                    <w:rFonts w:eastAsia="Times New Roman"/>
                  </w:rPr>
                </w:rPrChange>
              </w:rPr>
            </w:pPr>
          </w:p>
        </w:tc>
        <w:tc>
          <w:tcPr>
            <w:tcW w:w="1156" w:type="pct"/>
            <w:shd w:val="clear" w:color="auto" w:fill="auto"/>
            <w:noWrap/>
            <w:vAlign w:val="bottom"/>
            <w:hideMark/>
          </w:tcPr>
          <w:p w:rsidR="00E357EB" w:rsidRDefault="00207D63" w:rsidP="00E61731">
            <w:pPr>
              <w:rPr>
                <w:rFonts w:eastAsia="Times New Roman"/>
              </w:rPr>
            </w:pPr>
            <w:r w:rsidRPr="006D0572">
              <w:rPr>
                <w:rFonts w:eastAsia="Times New Roman"/>
              </w:rPr>
              <w:t>Costa M</w:t>
            </w:r>
            <w:r w:rsidR="00FA2957">
              <w:rPr>
                <w:rFonts w:eastAsia="Times New Roman"/>
                <w:vertAlign w:val="superscript"/>
              </w:rPr>
              <w:t>1</w:t>
            </w:r>
            <w:r w:rsidR="009239A9">
              <w:rPr>
                <w:rFonts w:eastAsia="Times New Roman"/>
                <w:vertAlign w:val="superscript"/>
              </w:rPr>
              <w:t>8</w:t>
            </w:r>
          </w:p>
        </w:tc>
        <w:tc>
          <w:tcPr>
            <w:tcW w:w="924" w:type="pct"/>
            <w:shd w:val="clear" w:color="auto" w:fill="auto"/>
            <w:noWrap/>
            <w:vAlign w:val="bottom"/>
            <w:hideMark/>
          </w:tcPr>
          <w:p w:rsidR="00E357EB" w:rsidRDefault="00207D63" w:rsidP="00225F59">
            <w:pPr>
              <w:jc w:val="center"/>
              <w:rPr>
                <w:rFonts w:eastAsia="Times New Roman"/>
              </w:rPr>
            </w:pPr>
            <w:r w:rsidRPr="006D0572">
              <w:rPr>
                <w:rFonts w:eastAsia="Times New Roman"/>
              </w:rPr>
              <w:t>120</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vMerge/>
            <w:shd w:val="clear" w:color="auto" w:fill="auto"/>
            <w:noWrap/>
            <w:vAlign w:val="bottom"/>
            <w:hideMark/>
          </w:tcPr>
          <w:p w:rsidR="00E357EB" w:rsidRPr="00225F59" w:rsidRDefault="00E357EB" w:rsidP="00E61731">
            <w:pPr>
              <w:rPr>
                <w:rFonts w:eastAsia="Times New Roman"/>
                <w:sz w:val="22"/>
                <w:szCs w:val="22"/>
                <w:rPrChange w:id="16" w:author="Ibeth" w:date="2013-02-28T17:11:00Z">
                  <w:rPr>
                    <w:rFonts w:eastAsia="Times New Roman"/>
                  </w:rPr>
                </w:rPrChange>
              </w:rPr>
            </w:pPr>
          </w:p>
        </w:tc>
        <w:tc>
          <w:tcPr>
            <w:tcW w:w="1156" w:type="pct"/>
            <w:shd w:val="clear" w:color="auto" w:fill="auto"/>
            <w:noWrap/>
            <w:vAlign w:val="bottom"/>
            <w:hideMark/>
          </w:tcPr>
          <w:p w:rsidR="00E357EB" w:rsidRDefault="00207D63" w:rsidP="00E61731">
            <w:pPr>
              <w:rPr>
                <w:rFonts w:eastAsia="Times New Roman"/>
              </w:rPr>
            </w:pPr>
            <w:proofErr w:type="spellStart"/>
            <w:r w:rsidRPr="006D0572">
              <w:rPr>
                <w:rFonts w:eastAsia="Times New Roman"/>
              </w:rPr>
              <w:t>Mankar</w:t>
            </w:r>
            <w:proofErr w:type="spellEnd"/>
            <w:r w:rsidRPr="006D0572">
              <w:rPr>
                <w:rFonts w:eastAsia="Times New Roman"/>
              </w:rPr>
              <w:t xml:space="preserve"> M</w:t>
            </w:r>
            <w:r w:rsidR="00FA2957">
              <w:rPr>
                <w:rFonts w:eastAsia="Times New Roman"/>
                <w:vertAlign w:val="superscript"/>
              </w:rPr>
              <w:t>2</w:t>
            </w:r>
            <w:r w:rsidR="009239A9">
              <w:rPr>
                <w:rFonts w:eastAsia="Times New Roman"/>
                <w:vertAlign w:val="superscript"/>
              </w:rPr>
              <w:t>2</w:t>
            </w:r>
          </w:p>
        </w:tc>
        <w:tc>
          <w:tcPr>
            <w:tcW w:w="924" w:type="pct"/>
            <w:shd w:val="clear" w:color="auto" w:fill="auto"/>
            <w:noWrap/>
            <w:vAlign w:val="bottom"/>
            <w:hideMark/>
          </w:tcPr>
          <w:p w:rsidR="00E357EB" w:rsidRDefault="00207D63" w:rsidP="00225F59">
            <w:pPr>
              <w:jc w:val="center"/>
              <w:rPr>
                <w:rFonts w:eastAsia="Times New Roman"/>
              </w:rPr>
            </w:pPr>
            <w:r w:rsidRPr="006D0572">
              <w:rPr>
                <w:rFonts w:eastAsia="Times New Roman"/>
              </w:rPr>
              <w:t>51</w:t>
            </w:r>
          </w:p>
        </w:tc>
        <w:tc>
          <w:tcPr>
            <w:tcW w:w="692" w:type="pct"/>
            <w:vMerge/>
            <w:shd w:val="clear" w:color="auto" w:fill="auto"/>
            <w:noWrap/>
            <w:vAlign w:val="bottom"/>
            <w:hideMark/>
          </w:tcPr>
          <w:p w:rsidR="00E357EB" w:rsidRDefault="00E357EB" w:rsidP="00225F59">
            <w:pPr>
              <w:jc w:val="center"/>
              <w:rPr>
                <w:rFonts w:eastAsia="Times New Roman"/>
              </w:rPr>
            </w:pPr>
          </w:p>
        </w:tc>
        <w:tc>
          <w:tcPr>
            <w:tcW w:w="1268" w:type="pct"/>
            <w:vMerge/>
            <w:shd w:val="clear" w:color="auto" w:fill="auto"/>
            <w:noWrap/>
            <w:vAlign w:val="bottom"/>
            <w:hideMark/>
          </w:tcPr>
          <w:p w:rsidR="00E357EB" w:rsidRDefault="00E357EB" w:rsidP="00225F59">
            <w:pPr>
              <w:jc w:val="center"/>
              <w:rPr>
                <w:rFonts w:eastAsia="Times New Roman"/>
              </w:rPr>
            </w:pPr>
          </w:p>
        </w:tc>
      </w:tr>
      <w:tr w:rsidR="00207D63" w:rsidRPr="006D0572" w:rsidTr="002C269A">
        <w:trPr>
          <w:trHeight w:val="300"/>
        </w:trPr>
        <w:tc>
          <w:tcPr>
            <w:tcW w:w="960" w:type="pct"/>
            <w:shd w:val="clear" w:color="auto" w:fill="auto"/>
            <w:noWrap/>
            <w:vAlign w:val="bottom"/>
            <w:hideMark/>
          </w:tcPr>
          <w:p w:rsidR="00207D63" w:rsidRPr="00225F59" w:rsidRDefault="00207D63" w:rsidP="00E61731">
            <w:pPr>
              <w:rPr>
                <w:rFonts w:eastAsia="Times New Roman"/>
              </w:rPr>
            </w:pPr>
            <w:r w:rsidRPr="00225F59">
              <w:rPr>
                <w:rFonts w:eastAsia="Times New Roman"/>
              </w:rPr>
              <w:t>Hepatitis B</w:t>
            </w:r>
          </w:p>
        </w:tc>
        <w:tc>
          <w:tcPr>
            <w:tcW w:w="1156" w:type="pct"/>
            <w:shd w:val="clear" w:color="auto" w:fill="auto"/>
            <w:noWrap/>
            <w:vAlign w:val="bottom"/>
            <w:hideMark/>
          </w:tcPr>
          <w:p w:rsidR="00207D63" w:rsidRPr="006D0572" w:rsidRDefault="0093283B" w:rsidP="00E61731">
            <w:pPr>
              <w:rPr>
                <w:rFonts w:eastAsia="Times New Roman"/>
              </w:rPr>
            </w:pPr>
            <w:r>
              <w:rPr>
                <w:rFonts w:eastAsia="Times New Roman"/>
              </w:rPr>
              <w:t>Zhang W</w:t>
            </w:r>
            <w:r w:rsidR="009239A9" w:rsidRPr="009239A9">
              <w:rPr>
                <w:rFonts w:eastAsia="Times New Roman"/>
                <w:vertAlign w:val="superscript"/>
              </w:rPr>
              <w:t>1</w:t>
            </w:r>
            <w:r w:rsidR="00FA2957">
              <w:rPr>
                <w:rFonts w:eastAsia="Times New Roman"/>
                <w:vertAlign w:val="superscript"/>
              </w:rPr>
              <w:t>2</w:t>
            </w:r>
          </w:p>
        </w:tc>
        <w:tc>
          <w:tcPr>
            <w:tcW w:w="924" w:type="pct"/>
            <w:shd w:val="clear" w:color="auto" w:fill="auto"/>
            <w:noWrap/>
            <w:vAlign w:val="bottom"/>
            <w:hideMark/>
          </w:tcPr>
          <w:p w:rsidR="00207D63" w:rsidRPr="006D0572" w:rsidRDefault="00207D63" w:rsidP="00225F59">
            <w:pPr>
              <w:jc w:val="center"/>
              <w:rPr>
                <w:rFonts w:eastAsia="Times New Roman"/>
              </w:rPr>
            </w:pPr>
            <w:r w:rsidRPr="006D0572">
              <w:rPr>
                <w:rFonts w:eastAsia="Times New Roman"/>
              </w:rPr>
              <w:t>335</w:t>
            </w:r>
          </w:p>
        </w:tc>
        <w:tc>
          <w:tcPr>
            <w:tcW w:w="692" w:type="pct"/>
            <w:shd w:val="clear" w:color="auto" w:fill="auto"/>
            <w:noWrap/>
            <w:vAlign w:val="bottom"/>
            <w:hideMark/>
          </w:tcPr>
          <w:p w:rsidR="00207D63" w:rsidRPr="006D0572" w:rsidRDefault="00207D63" w:rsidP="00225F59">
            <w:pPr>
              <w:jc w:val="center"/>
              <w:rPr>
                <w:rFonts w:eastAsia="Times New Roman"/>
              </w:rPr>
            </w:pPr>
            <w:r w:rsidRPr="006D0572">
              <w:rPr>
                <w:rFonts w:eastAsia="Times New Roman"/>
              </w:rPr>
              <w:t>335</w:t>
            </w:r>
          </w:p>
        </w:tc>
        <w:tc>
          <w:tcPr>
            <w:tcW w:w="1268" w:type="pct"/>
            <w:shd w:val="clear" w:color="auto" w:fill="auto"/>
            <w:noWrap/>
            <w:vAlign w:val="bottom"/>
            <w:hideMark/>
          </w:tcPr>
          <w:p w:rsidR="00207D63" w:rsidRPr="006D0572" w:rsidRDefault="00207D63" w:rsidP="00225F59">
            <w:pPr>
              <w:jc w:val="center"/>
              <w:rPr>
                <w:rFonts w:eastAsia="Times New Roman"/>
                <w:color w:val="000000"/>
              </w:rPr>
            </w:pPr>
            <w:r w:rsidRPr="006D0572">
              <w:rPr>
                <w:rFonts w:eastAsia="Times New Roman"/>
                <w:color w:val="000000"/>
              </w:rPr>
              <w:t>1</w:t>
            </w:r>
            <w:r w:rsidR="00083FAA">
              <w:rPr>
                <w:rFonts w:eastAsia="Times New Roman"/>
                <w:color w:val="000000"/>
              </w:rPr>
              <w:t>6</w:t>
            </w:r>
            <w:r w:rsidRPr="006D0572">
              <w:rPr>
                <w:rFonts w:eastAsia="Times New Roman"/>
                <w:color w:val="000000"/>
              </w:rPr>
              <w:t>,</w:t>
            </w:r>
            <w:r w:rsidR="003B26FF">
              <w:rPr>
                <w:rFonts w:eastAsia="Times New Roman"/>
                <w:color w:val="000000"/>
              </w:rPr>
              <w:t>7</w:t>
            </w:r>
            <w:r w:rsidR="009C7616">
              <w:rPr>
                <w:rFonts w:eastAsia="Times New Roman"/>
              </w:rPr>
              <w:t xml:space="preserve"> (15,0 - 18,3)</w:t>
            </w:r>
          </w:p>
        </w:tc>
      </w:tr>
      <w:tr w:rsidR="00207D63" w:rsidRPr="006D0572" w:rsidTr="002C269A">
        <w:trPr>
          <w:trHeight w:val="300"/>
        </w:trPr>
        <w:tc>
          <w:tcPr>
            <w:tcW w:w="960" w:type="pct"/>
            <w:shd w:val="clear" w:color="auto" w:fill="auto"/>
            <w:noWrap/>
            <w:vAlign w:val="bottom"/>
            <w:hideMark/>
          </w:tcPr>
          <w:p w:rsidR="00207D63" w:rsidRPr="00225F59" w:rsidRDefault="00207D63" w:rsidP="00E61731">
            <w:pPr>
              <w:rPr>
                <w:rFonts w:eastAsia="Times New Roman"/>
              </w:rPr>
            </w:pPr>
            <w:r w:rsidRPr="00225F59">
              <w:rPr>
                <w:rFonts w:eastAsia="Times New Roman"/>
              </w:rPr>
              <w:t>Hepatitis C</w:t>
            </w:r>
          </w:p>
        </w:tc>
        <w:tc>
          <w:tcPr>
            <w:tcW w:w="1156" w:type="pct"/>
            <w:shd w:val="clear" w:color="auto" w:fill="auto"/>
            <w:noWrap/>
            <w:vAlign w:val="bottom"/>
            <w:hideMark/>
          </w:tcPr>
          <w:p w:rsidR="00207D63" w:rsidRPr="006D0572" w:rsidRDefault="00207D63" w:rsidP="00E61731">
            <w:pPr>
              <w:rPr>
                <w:rFonts w:eastAsia="Times New Roman"/>
              </w:rPr>
            </w:pPr>
            <w:proofErr w:type="spellStart"/>
            <w:r w:rsidRPr="006D0572">
              <w:rPr>
                <w:rFonts w:eastAsia="Times New Roman"/>
              </w:rPr>
              <w:t>Taliani</w:t>
            </w:r>
            <w:proofErr w:type="spellEnd"/>
            <w:r w:rsidR="009239A9">
              <w:rPr>
                <w:rFonts w:eastAsia="Times New Roman"/>
              </w:rPr>
              <w:t xml:space="preserve"> </w:t>
            </w:r>
            <w:r w:rsidRPr="006D0572">
              <w:rPr>
                <w:rFonts w:eastAsia="Times New Roman"/>
              </w:rPr>
              <w:t>G</w:t>
            </w:r>
            <w:r w:rsidR="009239A9">
              <w:rPr>
                <w:rFonts w:eastAsia="Times New Roman"/>
                <w:vertAlign w:val="superscript"/>
              </w:rPr>
              <w:t>15</w:t>
            </w:r>
          </w:p>
        </w:tc>
        <w:tc>
          <w:tcPr>
            <w:tcW w:w="924" w:type="pct"/>
            <w:shd w:val="clear" w:color="auto" w:fill="auto"/>
            <w:noWrap/>
            <w:vAlign w:val="bottom"/>
            <w:hideMark/>
          </w:tcPr>
          <w:p w:rsidR="00207D63" w:rsidRPr="006D0572" w:rsidRDefault="00207D63" w:rsidP="00225F59">
            <w:pPr>
              <w:jc w:val="center"/>
              <w:rPr>
                <w:rFonts w:eastAsia="Times New Roman"/>
              </w:rPr>
            </w:pPr>
            <w:r w:rsidRPr="006D0572">
              <w:rPr>
                <w:rFonts w:eastAsia="Times New Roman"/>
              </w:rPr>
              <w:t>163</w:t>
            </w:r>
          </w:p>
        </w:tc>
        <w:tc>
          <w:tcPr>
            <w:tcW w:w="692" w:type="pct"/>
            <w:shd w:val="clear" w:color="auto" w:fill="auto"/>
            <w:noWrap/>
            <w:vAlign w:val="bottom"/>
            <w:hideMark/>
          </w:tcPr>
          <w:p w:rsidR="00207D63" w:rsidRPr="006D0572" w:rsidRDefault="00207D63" w:rsidP="00225F59">
            <w:pPr>
              <w:jc w:val="center"/>
              <w:rPr>
                <w:rFonts w:eastAsia="Times New Roman"/>
              </w:rPr>
            </w:pPr>
            <w:r w:rsidRPr="006D0572">
              <w:rPr>
                <w:rFonts w:eastAsia="Times New Roman"/>
              </w:rPr>
              <w:t>163</w:t>
            </w:r>
          </w:p>
        </w:tc>
        <w:tc>
          <w:tcPr>
            <w:tcW w:w="1268" w:type="pct"/>
            <w:shd w:val="clear" w:color="auto" w:fill="auto"/>
            <w:noWrap/>
            <w:vAlign w:val="bottom"/>
            <w:hideMark/>
          </w:tcPr>
          <w:p w:rsidR="00207D63" w:rsidRPr="006D0572" w:rsidRDefault="009C7616" w:rsidP="00225F59">
            <w:pPr>
              <w:jc w:val="center"/>
              <w:rPr>
                <w:rFonts w:eastAsia="Times New Roman"/>
                <w:color w:val="000000"/>
              </w:rPr>
            </w:pPr>
            <w:r w:rsidRPr="003407F1">
              <w:rPr>
                <w:rFonts w:eastAsia="Times New Roman"/>
              </w:rPr>
              <w:t>8,1</w:t>
            </w:r>
            <w:r>
              <w:rPr>
                <w:rFonts w:eastAsia="Times New Roman"/>
              </w:rPr>
              <w:t xml:space="preserve"> (6,9 - 9,3)</w:t>
            </w:r>
          </w:p>
        </w:tc>
      </w:tr>
      <w:tr w:rsidR="009C7616" w:rsidRPr="006D0572" w:rsidTr="002C269A">
        <w:trPr>
          <w:trHeight w:val="67"/>
        </w:trPr>
        <w:tc>
          <w:tcPr>
            <w:tcW w:w="960" w:type="pct"/>
            <w:shd w:val="clear" w:color="auto" w:fill="auto"/>
            <w:noWrap/>
            <w:hideMark/>
          </w:tcPr>
          <w:p w:rsidR="009C7616" w:rsidRPr="00225F59" w:rsidRDefault="009C7616" w:rsidP="00E61731">
            <w:pPr>
              <w:rPr>
                <w:rFonts w:eastAsia="Times New Roman"/>
              </w:rPr>
            </w:pPr>
            <w:r w:rsidRPr="00225F59">
              <w:rPr>
                <w:rFonts w:eastAsia="Times New Roman"/>
              </w:rPr>
              <w:t>Chagas</w:t>
            </w:r>
          </w:p>
        </w:tc>
        <w:tc>
          <w:tcPr>
            <w:tcW w:w="1156" w:type="pct"/>
            <w:shd w:val="clear" w:color="auto" w:fill="auto"/>
            <w:noWrap/>
            <w:hideMark/>
          </w:tcPr>
          <w:p w:rsidR="009C7616" w:rsidRPr="006D0572" w:rsidRDefault="009C7616" w:rsidP="00E61731">
            <w:pPr>
              <w:rPr>
                <w:rFonts w:eastAsia="Times New Roman"/>
              </w:rPr>
            </w:pPr>
            <w:proofErr w:type="spellStart"/>
            <w:r w:rsidRPr="006D0572">
              <w:rPr>
                <w:rFonts w:eastAsia="Times New Roman"/>
              </w:rPr>
              <w:t>Ozaki</w:t>
            </w:r>
            <w:proofErr w:type="spellEnd"/>
            <w:r w:rsidR="009239A9">
              <w:rPr>
                <w:rFonts w:eastAsia="Times New Roman"/>
              </w:rPr>
              <w:t xml:space="preserve"> </w:t>
            </w:r>
            <w:r w:rsidRPr="006D0572">
              <w:rPr>
                <w:rFonts w:eastAsia="Times New Roman"/>
              </w:rPr>
              <w:t>Y</w:t>
            </w:r>
            <w:r w:rsidR="009239A9">
              <w:rPr>
                <w:rFonts w:eastAsia="Times New Roman"/>
                <w:vertAlign w:val="superscript"/>
              </w:rPr>
              <w:t>19</w:t>
            </w:r>
          </w:p>
        </w:tc>
        <w:tc>
          <w:tcPr>
            <w:tcW w:w="924" w:type="pct"/>
            <w:shd w:val="clear" w:color="auto" w:fill="auto"/>
            <w:noWrap/>
            <w:hideMark/>
          </w:tcPr>
          <w:p w:rsidR="009C7616" w:rsidRPr="006D0572" w:rsidRDefault="009C7616" w:rsidP="00225F59">
            <w:pPr>
              <w:jc w:val="center"/>
              <w:rPr>
                <w:rFonts w:eastAsia="Times New Roman"/>
              </w:rPr>
            </w:pPr>
            <w:r w:rsidRPr="006D0572">
              <w:rPr>
                <w:rFonts w:eastAsia="Times New Roman"/>
              </w:rPr>
              <w:t>110</w:t>
            </w:r>
          </w:p>
        </w:tc>
        <w:tc>
          <w:tcPr>
            <w:tcW w:w="692" w:type="pct"/>
            <w:shd w:val="clear" w:color="auto" w:fill="auto"/>
            <w:noWrap/>
            <w:hideMark/>
          </w:tcPr>
          <w:p w:rsidR="009C7616" w:rsidRPr="006D0572" w:rsidRDefault="009C7616" w:rsidP="00225F59">
            <w:pPr>
              <w:jc w:val="center"/>
              <w:rPr>
                <w:rFonts w:eastAsia="Times New Roman"/>
              </w:rPr>
            </w:pPr>
            <w:r w:rsidRPr="006D0572">
              <w:rPr>
                <w:rFonts w:eastAsia="Times New Roman"/>
              </w:rPr>
              <w:t>110</w:t>
            </w:r>
          </w:p>
        </w:tc>
        <w:tc>
          <w:tcPr>
            <w:tcW w:w="1268" w:type="pct"/>
            <w:shd w:val="clear" w:color="auto" w:fill="auto"/>
            <w:noWrap/>
            <w:hideMark/>
          </w:tcPr>
          <w:p w:rsidR="009C7616" w:rsidRPr="003407F1" w:rsidRDefault="002C269A" w:rsidP="00225F59">
            <w:pPr>
              <w:jc w:val="center"/>
              <w:rPr>
                <w:rFonts w:eastAsia="Times New Roman"/>
              </w:rPr>
            </w:pPr>
            <w:r w:rsidRPr="003407F1">
              <w:rPr>
                <w:rFonts w:eastAsia="Times New Roman"/>
              </w:rPr>
              <w:t>5,5</w:t>
            </w:r>
            <w:r>
              <w:rPr>
                <w:rFonts w:eastAsia="Times New Roman"/>
              </w:rPr>
              <w:t xml:space="preserve"> (4,5 - 6,5)</w:t>
            </w:r>
          </w:p>
        </w:tc>
      </w:tr>
      <w:tr w:rsidR="009C7616" w:rsidRPr="006D0572" w:rsidTr="002C269A">
        <w:trPr>
          <w:trHeight w:val="67"/>
        </w:trPr>
        <w:tc>
          <w:tcPr>
            <w:tcW w:w="960" w:type="pct"/>
            <w:shd w:val="clear" w:color="auto" w:fill="auto"/>
            <w:noWrap/>
            <w:hideMark/>
          </w:tcPr>
          <w:p w:rsidR="009C7616" w:rsidRPr="00225F59" w:rsidRDefault="009C7616" w:rsidP="00E61731">
            <w:pPr>
              <w:rPr>
                <w:rFonts w:eastAsia="Times New Roman"/>
              </w:rPr>
            </w:pPr>
            <w:r w:rsidRPr="00225F59">
              <w:rPr>
                <w:rFonts w:eastAsia="Times New Roman"/>
              </w:rPr>
              <w:t>HTLV1</w:t>
            </w:r>
          </w:p>
        </w:tc>
        <w:tc>
          <w:tcPr>
            <w:tcW w:w="1156" w:type="pct"/>
            <w:shd w:val="clear" w:color="auto" w:fill="auto"/>
            <w:noWrap/>
            <w:hideMark/>
          </w:tcPr>
          <w:p w:rsidR="009C7616" w:rsidRPr="006D0572" w:rsidRDefault="009C7616" w:rsidP="00E61731">
            <w:pPr>
              <w:rPr>
                <w:rFonts w:eastAsia="Times New Roman"/>
              </w:rPr>
            </w:pPr>
            <w:r w:rsidRPr="006D0572">
              <w:rPr>
                <w:rFonts w:eastAsia="Times New Roman"/>
              </w:rPr>
              <w:t>GalvaoA</w:t>
            </w:r>
            <w:r w:rsidR="00FA2957">
              <w:rPr>
                <w:rFonts w:eastAsia="Times New Roman"/>
                <w:vertAlign w:val="superscript"/>
              </w:rPr>
              <w:t>2</w:t>
            </w:r>
            <w:r w:rsidR="009E2721">
              <w:rPr>
                <w:rFonts w:eastAsia="Times New Roman"/>
                <w:vertAlign w:val="superscript"/>
              </w:rPr>
              <w:t>0</w:t>
            </w:r>
          </w:p>
        </w:tc>
        <w:tc>
          <w:tcPr>
            <w:tcW w:w="924" w:type="pct"/>
            <w:shd w:val="clear" w:color="auto" w:fill="auto"/>
            <w:noWrap/>
            <w:hideMark/>
          </w:tcPr>
          <w:p w:rsidR="009C7616" w:rsidRPr="006D0572" w:rsidRDefault="009C7616" w:rsidP="00225F59">
            <w:pPr>
              <w:jc w:val="center"/>
              <w:rPr>
                <w:rFonts w:eastAsia="Times New Roman"/>
              </w:rPr>
            </w:pPr>
            <w:r w:rsidRPr="006D0572">
              <w:rPr>
                <w:rFonts w:eastAsia="Times New Roman"/>
              </w:rPr>
              <w:t>88</w:t>
            </w:r>
          </w:p>
        </w:tc>
        <w:tc>
          <w:tcPr>
            <w:tcW w:w="692" w:type="pct"/>
            <w:shd w:val="clear" w:color="auto" w:fill="auto"/>
            <w:noWrap/>
            <w:hideMark/>
          </w:tcPr>
          <w:p w:rsidR="009C7616" w:rsidRPr="006D0572" w:rsidRDefault="009C7616" w:rsidP="00225F59">
            <w:pPr>
              <w:jc w:val="center"/>
              <w:rPr>
                <w:rFonts w:eastAsia="Times New Roman"/>
              </w:rPr>
            </w:pPr>
            <w:r w:rsidRPr="006D0572">
              <w:rPr>
                <w:rFonts w:eastAsia="Times New Roman"/>
              </w:rPr>
              <w:t>88</w:t>
            </w:r>
          </w:p>
        </w:tc>
        <w:tc>
          <w:tcPr>
            <w:tcW w:w="1268" w:type="pct"/>
            <w:shd w:val="clear" w:color="auto" w:fill="auto"/>
            <w:noWrap/>
            <w:hideMark/>
          </w:tcPr>
          <w:p w:rsidR="009C7616" w:rsidRPr="003407F1" w:rsidRDefault="009C7616" w:rsidP="00225F59">
            <w:pPr>
              <w:jc w:val="center"/>
              <w:rPr>
                <w:rFonts w:eastAsia="Times New Roman"/>
              </w:rPr>
            </w:pPr>
            <w:r w:rsidRPr="003407F1">
              <w:rPr>
                <w:rFonts w:eastAsia="Times New Roman"/>
              </w:rPr>
              <w:t>4,4</w:t>
            </w:r>
            <w:r>
              <w:rPr>
                <w:rFonts w:eastAsia="Times New Roman"/>
              </w:rPr>
              <w:t xml:space="preserve"> (3,4 –5,3)</w:t>
            </w:r>
          </w:p>
        </w:tc>
      </w:tr>
    </w:tbl>
    <w:p w:rsidR="00B4741B" w:rsidRPr="006D0572" w:rsidRDefault="00B4741B" w:rsidP="00E61731"/>
    <w:p w:rsidR="006D0572" w:rsidRDefault="006D0572" w:rsidP="00E61731">
      <w:r>
        <w:br w:type="page"/>
      </w:r>
    </w:p>
    <w:p w:rsidR="00565017" w:rsidRPr="00225F59" w:rsidRDefault="006D0572" w:rsidP="00E61731">
      <w:pPr>
        <w:rPr>
          <w:b/>
        </w:rPr>
      </w:pPr>
      <w:r w:rsidRPr="00225F59">
        <w:rPr>
          <w:b/>
        </w:rPr>
        <w:lastRenderedPageBreak/>
        <w:t xml:space="preserve">Tabla 3. </w:t>
      </w:r>
      <w:r w:rsidR="00565017" w:rsidRPr="00225F59">
        <w:rPr>
          <w:b/>
        </w:rPr>
        <w:t>Descripción de la calidad de vida</w:t>
      </w:r>
      <w:r w:rsidR="004E2409" w:rsidRPr="00225F59">
        <w:rPr>
          <w:b/>
        </w:rPr>
        <w:t xml:space="preserve"> relacionada con la salud</w:t>
      </w:r>
      <w:r w:rsidR="00B3510E" w:rsidRPr="00225F59">
        <w:rPr>
          <w:b/>
        </w:rPr>
        <w:t xml:space="preserve"> en enfermedades infecciosas</w:t>
      </w:r>
      <w:r w:rsidR="004E2409" w:rsidRPr="00225F59">
        <w:rPr>
          <w:b/>
        </w:rPr>
        <w:t>.</w:t>
      </w:r>
    </w:p>
    <w:tbl>
      <w:tblPr>
        <w:tblW w:w="9318" w:type="dxa"/>
        <w:tblLayout w:type="fixed"/>
        <w:tblCellMar>
          <w:left w:w="70" w:type="dxa"/>
          <w:right w:w="70" w:type="dxa"/>
        </w:tblCellMar>
        <w:tblLook w:val="04A0" w:firstRow="1" w:lastRow="0" w:firstColumn="1" w:lastColumn="0" w:noHBand="0" w:noVBand="1"/>
      </w:tblPr>
      <w:tblGrid>
        <w:gridCol w:w="1346"/>
        <w:gridCol w:w="1719"/>
        <w:gridCol w:w="709"/>
        <w:gridCol w:w="1162"/>
        <w:gridCol w:w="1608"/>
        <w:gridCol w:w="1340"/>
        <w:gridCol w:w="1434"/>
      </w:tblGrid>
      <w:tr w:rsidR="004319F4" w:rsidRPr="00225F59" w:rsidTr="009E2721">
        <w:trPr>
          <w:trHeight w:val="315"/>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F4" w:rsidRPr="00225F59" w:rsidRDefault="004319F4" w:rsidP="00E61731">
            <w:pPr>
              <w:rPr>
                <w:rFonts w:eastAsia="Times New Roman"/>
                <w:b/>
              </w:rPr>
            </w:pPr>
            <w:r w:rsidRPr="00225F59">
              <w:rPr>
                <w:rFonts w:eastAsia="Times New Roman"/>
                <w:b/>
              </w:rPr>
              <w:t>Infección</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F4" w:rsidRPr="00225F59" w:rsidRDefault="004319F4" w:rsidP="00E61731">
            <w:pPr>
              <w:rPr>
                <w:rFonts w:eastAsia="Times New Roman"/>
                <w:b/>
              </w:rPr>
            </w:pPr>
            <w:r w:rsidRPr="00225F59">
              <w:rPr>
                <w:rFonts w:eastAsia="Times New Roman"/>
                <w:b/>
              </w:rPr>
              <w:t>Autor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w:t>
            </w:r>
          </w:p>
        </w:tc>
        <w:tc>
          <w:tcPr>
            <w:tcW w:w="55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WHOQOL-BREF (Media ± Desviación estándar)</w:t>
            </w:r>
          </w:p>
        </w:tc>
      </w:tr>
      <w:tr w:rsidR="004319F4" w:rsidRPr="00225F59" w:rsidTr="009E2721">
        <w:trPr>
          <w:trHeight w:val="315"/>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E357EB" w:rsidRPr="00225F59" w:rsidRDefault="00E357EB" w:rsidP="00E61731">
            <w:pPr>
              <w:rPr>
                <w:rFonts w:eastAsia="Times New Roman"/>
                <w:b/>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E357EB" w:rsidRPr="00225F59" w:rsidRDefault="00E357EB" w:rsidP="00E61731">
            <w:pPr>
              <w:rPr>
                <w:rFonts w:eastAsia="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7EB" w:rsidRPr="00225F59" w:rsidRDefault="00E357EB" w:rsidP="00E61731">
            <w:pPr>
              <w:rPr>
                <w:rFonts w:eastAsia="Times New Roman"/>
                <w:b/>
              </w:rPr>
            </w:pPr>
          </w:p>
        </w:tc>
        <w:tc>
          <w:tcPr>
            <w:tcW w:w="1162" w:type="dxa"/>
            <w:tcBorders>
              <w:top w:val="nil"/>
              <w:left w:val="nil"/>
              <w:bottom w:val="single" w:sz="4" w:space="0" w:color="auto"/>
              <w:right w:val="single" w:sz="4" w:space="0" w:color="auto"/>
            </w:tcBorders>
            <w:shd w:val="clear" w:color="auto" w:fill="auto"/>
            <w:noWrap/>
            <w:vAlign w:val="bottom"/>
            <w:hideMark/>
          </w:tcPr>
          <w:p w:rsidR="00E357EB" w:rsidRPr="00225F59" w:rsidRDefault="004319F4" w:rsidP="00225F59">
            <w:pPr>
              <w:jc w:val="center"/>
              <w:rPr>
                <w:rFonts w:eastAsia="Times New Roman"/>
                <w:b/>
              </w:rPr>
            </w:pPr>
            <w:r w:rsidRPr="00225F59">
              <w:rPr>
                <w:rFonts w:eastAsia="Times New Roman"/>
                <w:b/>
              </w:rPr>
              <w:t>Físico</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Pr="00225F59" w:rsidRDefault="004319F4" w:rsidP="00225F59">
            <w:pPr>
              <w:jc w:val="center"/>
              <w:rPr>
                <w:rFonts w:eastAsia="Times New Roman"/>
                <w:b/>
              </w:rPr>
            </w:pPr>
            <w:r w:rsidRPr="00225F59">
              <w:rPr>
                <w:rFonts w:eastAsia="Times New Roman"/>
                <w:b/>
              </w:rPr>
              <w:t>Psicológica</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Pr="00225F59" w:rsidRDefault="004319F4" w:rsidP="00225F59">
            <w:pPr>
              <w:jc w:val="center"/>
              <w:rPr>
                <w:rFonts w:eastAsia="Times New Roman"/>
                <w:b/>
              </w:rPr>
            </w:pPr>
            <w:r w:rsidRPr="00225F59">
              <w:rPr>
                <w:rFonts w:eastAsia="Times New Roman"/>
                <w:b/>
              </w:rPr>
              <w:t>Social</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Pr="00225F59" w:rsidRDefault="004319F4" w:rsidP="00225F59">
            <w:pPr>
              <w:jc w:val="center"/>
              <w:rPr>
                <w:rFonts w:eastAsia="Times New Roman"/>
                <w:b/>
              </w:rPr>
            </w:pPr>
            <w:r w:rsidRPr="00225F59">
              <w:rPr>
                <w:rFonts w:eastAsia="Times New Roman"/>
                <w:b/>
              </w:rPr>
              <w:t>Ambiental</w:t>
            </w:r>
          </w:p>
        </w:tc>
      </w:tr>
      <w:tr w:rsidR="00317AE7" w:rsidRPr="007503A0" w:rsidTr="009E2721">
        <w:trPr>
          <w:trHeight w:val="360"/>
        </w:trPr>
        <w:tc>
          <w:tcPr>
            <w:tcW w:w="1346" w:type="dxa"/>
            <w:vMerge w:val="restart"/>
            <w:tcBorders>
              <w:top w:val="nil"/>
              <w:left w:val="single" w:sz="4" w:space="0" w:color="auto"/>
              <w:right w:val="single" w:sz="4" w:space="0" w:color="auto"/>
            </w:tcBorders>
            <w:shd w:val="clear" w:color="auto" w:fill="auto"/>
            <w:noWrap/>
            <w:vAlign w:val="center"/>
            <w:hideMark/>
          </w:tcPr>
          <w:p w:rsidR="00317AE7" w:rsidRPr="00225F59" w:rsidRDefault="00317AE7" w:rsidP="00E61731">
            <w:pPr>
              <w:rPr>
                <w:rFonts w:eastAsia="Times New Roman"/>
              </w:rPr>
            </w:pPr>
            <w:r w:rsidRPr="00225F59">
              <w:rPr>
                <w:rFonts w:eastAsia="Times New Roman"/>
              </w:rPr>
              <w:t>VIH/SIDA</w:t>
            </w:r>
          </w:p>
        </w:tc>
        <w:tc>
          <w:tcPr>
            <w:tcW w:w="1719" w:type="dxa"/>
            <w:tcBorders>
              <w:top w:val="nil"/>
              <w:left w:val="nil"/>
              <w:bottom w:val="single" w:sz="4" w:space="0" w:color="auto"/>
              <w:right w:val="single" w:sz="4" w:space="0" w:color="auto"/>
            </w:tcBorders>
            <w:shd w:val="clear" w:color="auto" w:fill="auto"/>
            <w:noWrap/>
            <w:vAlign w:val="center"/>
            <w:hideMark/>
          </w:tcPr>
          <w:p w:rsidR="00317AE7" w:rsidRPr="00821DA3" w:rsidRDefault="00317AE7" w:rsidP="00E61731">
            <w:pPr>
              <w:rPr>
                <w:rFonts w:eastAsia="Times New Roman"/>
              </w:rPr>
            </w:pPr>
            <w:proofErr w:type="spellStart"/>
            <w:r w:rsidRPr="00821DA3">
              <w:rPr>
                <w:rFonts w:eastAsia="Times New Roman"/>
              </w:rPr>
              <w:t>Morandi</w:t>
            </w:r>
            <w:proofErr w:type="spellEnd"/>
            <w:r>
              <w:rPr>
                <w:rFonts w:eastAsia="Times New Roman"/>
              </w:rPr>
              <w:t xml:space="preserve"> </w:t>
            </w:r>
            <w:r w:rsidRPr="00821DA3">
              <w:rPr>
                <w:rFonts w:eastAsia="Times New Roman"/>
              </w:rPr>
              <w:t>E</w:t>
            </w:r>
            <w:r w:rsidR="009E2721">
              <w:rPr>
                <w:rFonts w:eastAsia="Times New Roman"/>
                <w:vertAlign w:val="superscript"/>
              </w:rPr>
              <w:t>11</w:t>
            </w:r>
          </w:p>
        </w:tc>
        <w:tc>
          <w:tcPr>
            <w:tcW w:w="709"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365</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69</w:t>
            </w:r>
            <w:r w:rsidRPr="007503A0">
              <w:rPr>
                <w:rFonts w:eastAsia="Times New Roman"/>
              </w:rPr>
              <w:t>±13,8</w:t>
            </w:r>
          </w:p>
        </w:tc>
        <w:tc>
          <w:tcPr>
            <w:tcW w:w="1608"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69</w:t>
            </w:r>
            <w:r w:rsidRPr="007503A0">
              <w:rPr>
                <w:rFonts w:eastAsia="Times New Roman"/>
              </w:rPr>
              <w:t>±</w:t>
            </w:r>
            <w:r w:rsidRPr="00821DA3">
              <w:rPr>
                <w:rFonts w:eastAsia="Times New Roman"/>
              </w:rPr>
              <w:t>13,8</w:t>
            </w:r>
          </w:p>
        </w:tc>
        <w:tc>
          <w:tcPr>
            <w:tcW w:w="1340"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16,2</w:t>
            </w:r>
          </w:p>
        </w:tc>
        <w:tc>
          <w:tcPr>
            <w:tcW w:w="1434"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10,4</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17"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r>
              <w:rPr>
                <w:rFonts w:eastAsia="Times New Roman"/>
              </w:rPr>
              <w:t xml:space="preserve">Cardona </w:t>
            </w:r>
            <w:r w:rsidRPr="00821DA3">
              <w:rPr>
                <w:rFonts w:eastAsia="Times New Roman"/>
              </w:rPr>
              <w:t>J</w:t>
            </w:r>
            <w:r w:rsidR="009E2721">
              <w:rPr>
                <w:rFonts w:eastAsia="Times New Roman"/>
                <w:vertAlign w:val="superscript"/>
              </w:rPr>
              <w:t>14</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187</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65</w:t>
            </w:r>
            <w:r w:rsidRPr="007503A0">
              <w:rPr>
                <w:rFonts w:eastAsia="Times New Roman"/>
              </w:rPr>
              <w:t>±15,7</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67</w:t>
            </w:r>
            <w:r w:rsidRPr="007503A0">
              <w:rPr>
                <w:rFonts w:eastAsia="Times New Roman"/>
              </w:rPr>
              <w:t>±</w:t>
            </w:r>
            <w:r w:rsidRPr="00821DA3">
              <w:rPr>
                <w:rFonts w:eastAsia="Times New Roman"/>
              </w:rPr>
              <w:t>17,3</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68</w:t>
            </w:r>
            <w:r w:rsidRPr="007503A0">
              <w:rPr>
                <w:rFonts w:eastAsia="Times New Roman"/>
              </w:rPr>
              <w:t>±</w:t>
            </w:r>
            <w:r w:rsidRPr="00821DA3">
              <w:rPr>
                <w:rFonts w:eastAsia="Times New Roman"/>
              </w:rPr>
              <w:t>18,7</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64</w:t>
            </w:r>
            <w:r w:rsidRPr="007503A0">
              <w:rPr>
                <w:rFonts w:eastAsia="Times New Roman"/>
              </w:rPr>
              <w:t>±</w:t>
            </w:r>
            <w:r w:rsidRPr="00821DA3">
              <w:rPr>
                <w:rFonts w:eastAsia="Times New Roman"/>
              </w:rPr>
              <w:t>27,2</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18"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proofErr w:type="spellStart"/>
            <w:r w:rsidRPr="00821DA3">
              <w:rPr>
                <w:rFonts w:eastAsia="Times New Roman"/>
              </w:rPr>
              <w:t>Mkangara</w:t>
            </w:r>
            <w:proofErr w:type="spellEnd"/>
            <w:r>
              <w:rPr>
                <w:rFonts w:eastAsia="Times New Roman"/>
              </w:rPr>
              <w:t xml:space="preserve"> </w:t>
            </w:r>
            <w:r w:rsidRPr="00821DA3">
              <w:rPr>
                <w:rFonts w:eastAsia="Times New Roman"/>
              </w:rPr>
              <w:t>O</w:t>
            </w:r>
            <w:r w:rsidR="009E2721">
              <w:rPr>
                <w:rFonts w:eastAsia="Times New Roman"/>
                <w:vertAlign w:val="superscript"/>
              </w:rPr>
              <w:t>16</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136</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50</w:t>
            </w:r>
            <w:r w:rsidRPr="007503A0">
              <w:rPr>
                <w:rFonts w:eastAsia="Times New Roman"/>
              </w:rPr>
              <w:t>±11,3</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12,6</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14,7</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10,3</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19"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proofErr w:type="spellStart"/>
            <w:r w:rsidRPr="00821DA3">
              <w:rPr>
                <w:rFonts w:eastAsia="Times New Roman"/>
              </w:rPr>
              <w:t>Sakthong</w:t>
            </w:r>
            <w:proofErr w:type="spellEnd"/>
            <w:r>
              <w:rPr>
                <w:rFonts w:eastAsia="Times New Roman"/>
              </w:rPr>
              <w:t xml:space="preserve"> </w:t>
            </w:r>
            <w:r w:rsidRPr="00821DA3">
              <w:rPr>
                <w:rFonts w:eastAsia="Times New Roman"/>
              </w:rPr>
              <w:t>P</w:t>
            </w:r>
            <w:r w:rsidR="009E2721">
              <w:rPr>
                <w:rFonts w:eastAsia="Times New Roman"/>
                <w:vertAlign w:val="superscript"/>
              </w:rPr>
              <w:t>17</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120</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13,6</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14,4</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16,5</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14,6</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20"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proofErr w:type="spellStart"/>
            <w:r w:rsidRPr="00821DA3">
              <w:rPr>
                <w:rFonts w:eastAsia="Times New Roman"/>
              </w:rPr>
              <w:t>Naveet</w:t>
            </w:r>
            <w:proofErr w:type="spellEnd"/>
            <w:r>
              <w:rPr>
                <w:rFonts w:eastAsia="Times New Roman"/>
              </w:rPr>
              <w:t xml:space="preserve"> </w:t>
            </w:r>
            <w:proofErr w:type="spellStart"/>
            <w:r w:rsidRPr="00821DA3">
              <w:rPr>
                <w:rFonts w:eastAsia="Times New Roman"/>
              </w:rPr>
              <w:t>W</w:t>
            </w:r>
            <w:r w:rsidRPr="00821DA3">
              <w:rPr>
                <w:rFonts w:eastAsia="Times New Roman"/>
                <w:vertAlign w:val="superscript"/>
              </w:rPr>
              <w:t>n</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68</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11,3</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12,6</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14,7</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10,3</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21"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r w:rsidRPr="00821DA3">
              <w:rPr>
                <w:rFonts w:eastAsia="Times New Roman"/>
              </w:rPr>
              <w:t>Yen C</w:t>
            </w:r>
            <w:r w:rsidR="009E2721">
              <w:rPr>
                <w:rFonts w:eastAsia="Times New Roman"/>
                <w:vertAlign w:val="superscript"/>
              </w:rPr>
              <w:t>24</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41</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8,4</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10,8</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rPr>
              <w:t>±</w:t>
            </w:r>
            <w:r w:rsidRPr="00821DA3">
              <w:rPr>
                <w:rFonts w:eastAsia="Times New Roman"/>
              </w:rPr>
              <w:t>9,6</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8,6</w:t>
            </w:r>
          </w:p>
        </w:tc>
      </w:tr>
      <w:tr w:rsidR="00317AE7" w:rsidRPr="007503A0" w:rsidTr="009E2721">
        <w:trPr>
          <w:trHeight w:val="78"/>
        </w:trPr>
        <w:tc>
          <w:tcPr>
            <w:tcW w:w="1346" w:type="dxa"/>
            <w:vMerge/>
            <w:tcBorders>
              <w:left w:val="single" w:sz="4" w:space="0" w:color="auto"/>
              <w:right w:val="single" w:sz="4" w:space="0" w:color="auto"/>
            </w:tcBorders>
            <w:vAlign w:val="center"/>
            <w:hideMark/>
          </w:tcPr>
          <w:p w:rsidR="00E357EB" w:rsidRPr="00225F59" w:rsidRDefault="00E357EB" w:rsidP="00E61731">
            <w:pPr>
              <w:rPr>
                <w:rFonts w:eastAsia="Times New Roman"/>
                <w:sz w:val="22"/>
                <w:szCs w:val="22"/>
                <w:rPrChange w:id="22"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r w:rsidRPr="00821DA3">
              <w:rPr>
                <w:rFonts w:eastAsia="Times New Roman"/>
              </w:rPr>
              <w:t>Allen J</w:t>
            </w:r>
            <w:r w:rsidR="009E2721">
              <w:rPr>
                <w:rFonts w:eastAsia="Times New Roman"/>
                <w:vertAlign w:val="superscript"/>
              </w:rPr>
              <w:t>23</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41</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46</w:t>
            </w:r>
            <w:r w:rsidRPr="007503A0">
              <w:rPr>
                <w:rFonts w:eastAsia="Times New Roman"/>
              </w:rPr>
              <w:t>±</w:t>
            </w:r>
            <w:r w:rsidRPr="00821DA3">
              <w:rPr>
                <w:rFonts w:eastAsia="Times New Roman"/>
              </w:rPr>
              <w:t>19,2</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49</w:t>
            </w:r>
            <w:r w:rsidRPr="007503A0">
              <w:rPr>
                <w:rFonts w:eastAsia="Times New Roman"/>
              </w:rPr>
              <w:t>±</w:t>
            </w:r>
            <w:r w:rsidRPr="00821DA3">
              <w:rPr>
                <w:rFonts w:eastAsia="Times New Roman"/>
              </w:rPr>
              <w:t>19,8</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44</w:t>
            </w:r>
            <w:r w:rsidRPr="007503A0">
              <w:rPr>
                <w:rFonts w:eastAsia="Times New Roman"/>
              </w:rPr>
              <w:t>±</w:t>
            </w:r>
            <w:r w:rsidRPr="00821DA3">
              <w:rPr>
                <w:rFonts w:eastAsia="Times New Roman"/>
              </w:rPr>
              <w:t>25</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55</w:t>
            </w:r>
            <w:r w:rsidRPr="007503A0">
              <w:rPr>
                <w:rFonts w:eastAsia="Times New Roman"/>
              </w:rPr>
              <w:t>±</w:t>
            </w:r>
            <w:r w:rsidRPr="00821DA3">
              <w:rPr>
                <w:rFonts w:eastAsia="Times New Roman"/>
              </w:rPr>
              <w:t>21,4</w:t>
            </w:r>
          </w:p>
        </w:tc>
      </w:tr>
      <w:tr w:rsidR="00317AE7" w:rsidRPr="007503A0" w:rsidTr="009E2721">
        <w:trPr>
          <w:trHeight w:val="315"/>
        </w:trPr>
        <w:tc>
          <w:tcPr>
            <w:tcW w:w="1346" w:type="dxa"/>
            <w:vMerge/>
            <w:tcBorders>
              <w:left w:val="single" w:sz="4" w:space="0" w:color="auto"/>
              <w:bottom w:val="single" w:sz="4" w:space="0" w:color="auto"/>
              <w:right w:val="single" w:sz="4" w:space="0" w:color="auto"/>
            </w:tcBorders>
            <w:vAlign w:val="center"/>
            <w:hideMark/>
          </w:tcPr>
          <w:p w:rsidR="00E357EB" w:rsidRPr="00225F59" w:rsidRDefault="00E357EB" w:rsidP="00E61731">
            <w:pPr>
              <w:rPr>
                <w:rFonts w:eastAsia="Times New Roman"/>
                <w:sz w:val="22"/>
                <w:szCs w:val="22"/>
                <w:rPrChange w:id="23" w:author="Ibeth" w:date="2013-02-28T17:13:00Z">
                  <w:rPr>
                    <w:rFonts w:eastAsia="Times New Roman"/>
                  </w:rPr>
                </w:rPrChange>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Pr="00225F59" w:rsidRDefault="00317AE7" w:rsidP="00E61731">
            <w:pPr>
              <w:rPr>
                <w:rFonts w:eastAsia="Times New Roman"/>
                <w:b/>
              </w:rPr>
            </w:pPr>
            <w:r w:rsidRPr="00225F59">
              <w:rPr>
                <w:rFonts w:eastAsia="Times New Roman"/>
                <w:b/>
              </w:rPr>
              <w:t>Subtotal</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Pr="00225F59" w:rsidRDefault="00317AE7" w:rsidP="00225F59">
            <w:pPr>
              <w:jc w:val="center"/>
              <w:rPr>
                <w:rFonts w:eastAsia="Times New Roman"/>
                <w:b/>
              </w:rPr>
            </w:pPr>
            <w:r w:rsidRPr="00225F59">
              <w:rPr>
                <w:rFonts w:eastAsia="Times New Roman"/>
                <w:b/>
              </w:rPr>
              <w:t>958</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Pr="00225F59" w:rsidRDefault="00317AE7" w:rsidP="00225F59">
            <w:pPr>
              <w:jc w:val="center"/>
              <w:rPr>
                <w:rFonts w:eastAsia="Times New Roman"/>
                <w:b/>
              </w:rPr>
            </w:pPr>
            <w:r w:rsidRPr="00225F59">
              <w:rPr>
                <w:rFonts w:eastAsia="Times New Roman"/>
                <w:b/>
              </w:rPr>
              <w:t>62±13,6</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Pr="00225F59" w:rsidRDefault="00317AE7" w:rsidP="00225F59">
            <w:pPr>
              <w:jc w:val="center"/>
              <w:rPr>
                <w:rFonts w:eastAsia="Times New Roman"/>
                <w:b/>
              </w:rPr>
            </w:pPr>
            <w:r w:rsidRPr="00225F59">
              <w:rPr>
                <w:rFonts w:eastAsia="Times New Roman"/>
                <w:b/>
              </w:rPr>
              <w:t>64±14,4</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Pr="00225F59" w:rsidRDefault="00317AE7" w:rsidP="00225F59">
            <w:pPr>
              <w:jc w:val="center"/>
              <w:rPr>
                <w:rFonts w:eastAsia="Times New Roman"/>
                <w:b/>
              </w:rPr>
            </w:pPr>
            <w:r w:rsidRPr="00225F59">
              <w:rPr>
                <w:rFonts w:eastAsia="Times New Roman"/>
                <w:b/>
              </w:rPr>
              <w:t>60,5±16,5</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Pr="00225F59" w:rsidRDefault="00317AE7" w:rsidP="00225F59">
            <w:pPr>
              <w:jc w:val="center"/>
              <w:rPr>
                <w:rFonts w:eastAsia="Times New Roman"/>
                <w:b/>
              </w:rPr>
            </w:pPr>
            <w:r w:rsidRPr="00225F59">
              <w:rPr>
                <w:rFonts w:eastAsia="Times New Roman"/>
                <w:b/>
              </w:rPr>
              <w:t>59±14,6</w:t>
            </w:r>
          </w:p>
        </w:tc>
      </w:tr>
      <w:tr w:rsidR="00317AE7" w:rsidRPr="007503A0" w:rsidTr="009E2721">
        <w:trPr>
          <w:trHeight w:val="360"/>
        </w:trPr>
        <w:tc>
          <w:tcPr>
            <w:tcW w:w="1346" w:type="dxa"/>
            <w:vMerge w:val="restart"/>
            <w:tcBorders>
              <w:top w:val="nil"/>
              <w:left w:val="single" w:sz="4" w:space="0" w:color="auto"/>
              <w:right w:val="single" w:sz="4" w:space="0" w:color="auto"/>
            </w:tcBorders>
            <w:shd w:val="clear" w:color="auto" w:fill="auto"/>
            <w:noWrap/>
            <w:vAlign w:val="center"/>
            <w:hideMark/>
          </w:tcPr>
          <w:p w:rsidR="00317AE7" w:rsidRPr="00225F59" w:rsidRDefault="00317AE7" w:rsidP="00E61731">
            <w:pPr>
              <w:rPr>
                <w:rFonts w:eastAsia="Times New Roman"/>
              </w:rPr>
            </w:pPr>
            <w:r w:rsidRPr="00225F59">
              <w:rPr>
                <w:rFonts w:eastAsia="Times New Roman"/>
              </w:rPr>
              <w:t>Lepra</w:t>
            </w:r>
          </w:p>
        </w:tc>
        <w:tc>
          <w:tcPr>
            <w:tcW w:w="1719" w:type="dxa"/>
            <w:tcBorders>
              <w:top w:val="nil"/>
              <w:left w:val="nil"/>
              <w:bottom w:val="single" w:sz="4" w:space="0" w:color="auto"/>
              <w:right w:val="single" w:sz="4" w:space="0" w:color="auto"/>
            </w:tcBorders>
            <w:shd w:val="clear" w:color="auto" w:fill="auto"/>
            <w:noWrap/>
            <w:vAlign w:val="center"/>
            <w:hideMark/>
          </w:tcPr>
          <w:p w:rsidR="00317AE7" w:rsidRPr="00821DA3" w:rsidRDefault="00317AE7" w:rsidP="00E61731">
            <w:pPr>
              <w:rPr>
                <w:rFonts w:eastAsia="Times New Roman"/>
              </w:rPr>
            </w:pPr>
            <w:proofErr w:type="spellStart"/>
            <w:r w:rsidRPr="00821DA3">
              <w:rPr>
                <w:rFonts w:eastAsia="Times New Roman"/>
              </w:rPr>
              <w:t>Tsutsumi</w:t>
            </w:r>
            <w:proofErr w:type="spellEnd"/>
            <w:r>
              <w:rPr>
                <w:rFonts w:eastAsia="Times New Roman"/>
              </w:rPr>
              <w:t xml:space="preserve"> </w:t>
            </w:r>
            <w:r w:rsidRPr="00821DA3">
              <w:rPr>
                <w:rFonts w:eastAsia="Times New Roman"/>
              </w:rPr>
              <w:t>A</w:t>
            </w:r>
            <w:r w:rsidR="009E2721">
              <w:rPr>
                <w:rFonts w:eastAsia="Times New Roman"/>
                <w:vertAlign w:val="superscript"/>
              </w:rPr>
              <w:t>13</w:t>
            </w:r>
          </w:p>
        </w:tc>
        <w:tc>
          <w:tcPr>
            <w:tcW w:w="709"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188</w:t>
            </w:r>
          </w:p>
        </w:tc>
        <w:tc>
          <w:tcPr>
            <w:tcW w:w="1162"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Pr>
                <w:rFonts w:eastAsia="Times New Roman"/>
              </w:rPr>
              <w:t>43</w:t>
            </w:r>
            <w:r w:rsidRPr="007503A0">
              <w:rPr>
                <w:rFonts w:eastAsia="Times New Roman"/>
              </w:rPr>
              <w:t>±</w:t>
            </w:r>
            <w:r w:rsidRPr="00821DA3">
              <w:rPr>
                <w:rFonts w:eastAsia="Times New Roman"/>
              </w:rPr>
              <w:t>10,5</w:t>
            </w:r>
          </w:p>
        </w:tc>
        <w:tc>
          <w:tcPr>
            <w:tcW w:w="1608"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Pr>
                <w:rFonts w:eastAsia="Times New Roman"/>
              </w:rPr>
              <w:t>49</w:t>
            </w:r>
            <w:r w:rsidRPr="007503A0">
              <w:rPr>
                <w:rFonts w:eastAsia="Times New Roman"/>
              </w:rPr>
              <w:t>±</w:t>
            </w:r>
            <w:r w:rsidRPr="00821DA3">
              <w:rPr>
                <w:rFonts w:eastAsia="Times New Roman"/>
              </w:rPr>
              <w:t>10,8</w:t>
            </w:r>
          </w:p>
        </w:tc>
        <w:tc>
          <w:tcPr>
            <w:tcW w:w="1340"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7503A0">
              <w:rPr>
                <w:rFonts w:eastAsia="Times New Roman"/>
              </w:rPr>
              <w:t>63±</w:t>
            </w:r>
            <w:r w:rsidRPr="00821DA3">
              <w:rPr>
                <w:rFonts w:eastAsia="Times New Roman"/>
              </w:rPr>
              <w:t>11,1</w:t>
            </w:r>
          </w:p>
        </w:tc>
        <w:tc>
          <w:tcPr>
            <w:tcW w:w="1434" w:type="dxa"/>
            <w:tcBorders>
              <w:top w:val="nil"/>
              <w:left w:val="nil"/>
              <w:bottom w:val="single" w:sz="4" w:space="0" w:color="auto"/>
              <w:right w:val="single" w:sz="4" w:space="0" w:color="auto"/>
            </w:tcBorders>
            <w:shd w:val="clear" w:color="auto" w:fill="auto"/>
            <w:noWrap/>
            <w:vAlign w:val="bottom"/>
            <w:hideMark/>
          </w:tcPr>
          <w:p w:rsidR="00317AE7" w:rsidRPr="00821DA3" w:rsidRDefault="00317AE7"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7,1</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Default="00E357EB" w:rsidP="00E61731">
            <w:pPr>
              <w:rPr>
                <w:rFonts w:eastAsia="Times New Roman"/>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r w:rsidRPr="00821DA3">
              <w:rPr>
                <w:rFonts w:eastAsia="Times New Roman"/>
              </w:rPr>
              <w:t>Costa M</w:t>
            </w:r>
            <w:r w:rsidR="009E2721">
              <w:rPr>
                <w:rFonts w:eastAsia="Times New Roman"/>
                <w:vertAlign w:val="superscript"/>
              </w:rPr>
              <w:t>18</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120</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48</w:t>
            </w:r>
            <w:r w:rsidRPr="007503A0">
              <w:rPr>
                <w:rFonts w:eastAsia="Times New Roman"/>
                <w:color w:val="000000"/>
              </w:rPr>
              <w:t>±</w:t>
            </w:r>
            <w:r w:rsidRPr="00821DA3">
              <w:rPr>
                <w:rFonts w:eastAsia="Times New Roman"/>
              </w:rPr>
              <w:t>15,5</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Pr>
                <w:rFonts w:eastAsia="Times New Roman"/>
              </w:rPr>
              <w:t>59</w:t>
            </w:r>
            <w:r w:rsidRPr="007503A0">
              <w:rPr>
                <w:rFonts w:eastAsia="Times New Roman"/>
                <w:color w:val="000000"/>
              </w:rPr>
              <w:t>±</w:t>
            </w:r>
            <w:r w:rsidRPr="00821DA3">
              <w:rPr>
                <w:rFonts w:eastAsia="Times New Roman"/>
              </w:rPr>
              <w:t>14,3</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w:t>
            </w:r>
            <w:r>
              <w:rPr>
                <w:rFonts w:eastAsia="Times New Roman"/>
              </w:rPr>
              <w:t>2</w:t>
            </w:r>
            <w:r w:rsidRPr="007503A0">
              <w:rPr>
                <w:rFonts w:eastAsia="Times New Roman"/>
                <w:color w:val="000000"/>
              </w:rPr>
              <w:t>±</w:t>
            </w:r>
            <w:r w:rsidRPr="00821DA3">
              <w:rPr>
                <w:rFonts w:eastAsia="Times New Roman"/>
              </w:rPr>
              <w:t>16,4</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53</w:t>
            </w:r>
            <w:r w:rsidRPr="007503A0">
              <w:rPr>
                <w:rFonts w:eastAsia="Times New Roman"/>
                <w:color w:val="000000"/>
              </w:rPr>
              <w:t>±</w:t>
            </w:r>
            <w:r w:rsidRPr="00821DA3">
              <w:rPr>
                <w:rFonts w:eastAsia="Times New Roman"/>
              </w:rPr>
              <w:t>10,8</w:t>
            </w:r>
          </w:p>
        </w:tc>
      </w:tr>
      <w:tr w:rsidR="00317AE7" w:rsidRPr="007503A0" w:rsidTr="009E2721">
        <w:trPr>
          <w:trHeight w:val="360"/>
        </w:trPr>
        <w:tc>
          <w:tcPr>
            <w:tcW w:w="1346" w:type="dxa"/>
            <w:vMerge/>
            <w:tcBorders>
              <w:left w:val="single" w:sz="4" w:space="0" w:color="auto"/>
              <w:right w:val="single" w:sz="4" w:space="0" w:color="auto"/>
            </w:tcBorders>
            <w:vAlign w:val="center"/>
            <w:hideMark/>
          </w:tcPr>
          <w:p w:rsidR="00E357EB" w:rsidRDefault="00E357EB" w:rsidP="00E61731">
            <w:pPr>
              <w:rPr>
                <w:rFonts w:eastAsia="Times New Roman"/>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proofErr w:type="spellStart"/>
            <w:r w:rsidRPr="00821DA3">
              <w:rPr>
                <w:rFonts w:eastAsia="Times New Roman"/>
              </w:rPr>
              <w:t>Mankar</w:t>
            </w:r>
            <w:proofErr w:type="spellEnd"/>
            <w:r w:rsidRPr="00821DA3">
              <w:rPr>
                <w:rFonts w:eastAsia="Times New Roman"/>
              </w:rPr>
              <w:t xml:space="preserve"> M</w:t>
            </w:r>
            <w:r w:rsidR="009E2721">
              <w:rPr>
                <w:rFonts w:eastAsia="Times New Roman"/>
                <w:vertAlign w:val="superscript"/>
              </w:rPr>
              <w:t>22</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51</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color w:val="000000"/>
              </w:rPr>
              <w:t>±</w:t>
            </w:r>
            <w:r w:rsidRPr="00821DA3">
              <w:rPr>
                <w:rFonts w:eastAsia="Times New Roman"/>
              </w:rPr>
              <w:t>7,6</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color w:val="000000"/>
              </w:rPr>
              <w:t>±</w:t>
            </w:r>
            <w:r w:rsidRPr="00821DA3">
              <w:rPr>
                <w:rFonts w:eastAsia="Times New Roman"/>
              </w:rPr>
              <w:t>10,1</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63</w:t>
            </w:r>
            <w:r w:rsidRPr="007503A0">
              <w:rPr>
                <w:rFonts w:eastAsia="Times New Roman"/>
                <w:color w:val="000000"/>
              </w:rPr>
              <w:t>±</w:t>
            </w:r>
            <w:r w:rsidRPr="00821DA3">
              <w:rPr>
                <w:rFonts w:eastAsia="Times New Roman"/>
              </w:rPr>
              <w:t>20,2</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56</w:t>
            </w:r>
            <w:r w:rsidRPr="007503A0">
              <w:rPr>
                <w:rFonts w:eastAsia="Times New Roman"/>
                <w:color w:val="000000"/>
              </w:rPr>
              <w:t>±</w:t>
            </w:r>
            <w:r w:rsidRPr="00821DA3">
              <w:rPr>
                <w:rFonts w:eastAsia="Times New Roman"/>
              </w:rPr>
              <w:t>7,8</w:t>
            </w:r>
          </w:p>
        </w:tc>
      </w:tr>
      <w:tr w:rsidR="00317AE7" w:rsidRPr="007503A0" w:rsidTr="009E2721">
        <w:trPr>
          <w:trHeight w:val="315"/>
        </w:trPr>
        <w:tc>
          <w:tcPr>
            <w:tcW w:w="1346" w:type="dxa"/>
            <w:vMerge/>
            <w:tcBorders>
              <w:left w:val="single" w:sz="4" w:space="0" w:color="auto"/>
              <w:bottom w:val="single" w:sz="4" w:space="0" w:color="auto"/>
              <w:right w:val="single" w:sz="4" w:space="0" w:color="auto"/>
            </w:tcBorders>
            <w:vAlign w:val="center"/>
            <w:hideMark/>
          </w:tcPr>
          <w:p w:rsidR="00E357EB" w:rsidRDefault="00E357EB" w:rsidP="00E61731">
            <w:pPr>
              <w:rPr>
                <w:rFonts w:eastAsia="Times New Roman"/>
              </w:rPr>
            </w:pPr>
          </w:p>
        </w:tc>
        <w:tc>
          <w:tcPr>
            <w:tcW w:w="1719" w:type="dxa"/>
            <w:tcBorders>
              <w:top w:val="nil"/>
              <w:left w:val="nil"/>
              <w:bottom w:val="single" w:sz="4" w:space="0" w:color="auto"/>
              <w:right w:val="single" w:sz="4" w:space="0" w:color="auto"/>
            </w:tcBorders>
            <w:shd w:val="clear" w:color="auto" w:fill="auto"/>
            <w:noWrap/>
            <w:vAlign w:val="center"/>
            <w:hideMark/>
          </w:tcPr>
          <w:p w:rsidR="00E357EB" w:rsidRDefault="00317AE7" w:rsidP="00E61731">
            <w:pPr>
              <w:rPr>
                <w:rFonts w:eastAsia="Times New Roman"/>
              </w:rPr>
            </w:pPr>
            <w:r w:rsidRPr="00821DA3">
              <w:rPr>
                <w:rFonts w:eastAsia="Times New Roman"/>
              </w:rPr>
              <w:t>Subtotal</w:t>
            </w:r>
          </w:p>
        </w:tc>
        <w:tc>
          <w:tcPr>
            <w:tcW w:w="709"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821DA3">
              <w:rPr>
                <w:rFonts w:eastAsia="Times New Roman"/>
              </w:rPr>
              <w:t>359</w:t>
            </w:r>
          </w:p>
        </w:tc>
        <w:tc>
          <w:tcPr>
            <w:tcW w:w="1162"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4319F4">
              <w:rPr>
                <w:rFonts w:eastAsia="Times New Roman"/>
              </w:rPr>
              <w:t>47±</w:t>
            </w:r>
            <w:r w:rsidRPr="00821DA3">
              <w:rPr>
                <w:rFonts w:eastAsia="Times New Roman"/>
              </w:rPr>
              <w:t>11,7</w:t>
            </w:r>
          </w:p>
        </w:tc>
        <w:tc>
          <w:tcPr>
            <w:tcW w:w="1608"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4319F4">
              <w:rPr>
                <w:rFonts w:eastAsia="Times New Roman"/>
              </w:rPr>
              <w:t>54±</w:t>
            </w:r>
            <w:r w:rsidRPr="00821DA3">
              <w:rPr>
                <w:rFonts w:eastAsia="Times New Roman"/>
              </w:rPr>
              <w:t>11,9</w:t>
            </w:r>
          </w:p>
        </w:tc>
        <w:tc>
          <w:tcPr>
            <w:tcW w:w="1340"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4319F4">
              <w:rPr>
                <w:rFonts w:eastAsia="Times New Roman"/>
              </w:rPr>
              <w:t>63±</w:t>
            </w:r>
            <w:r w:rsidRPr="00821DA3">
              <w:rPr>
                <w:rFonts w:eastAsia="Times New Roman"/>
              </w:rPr>
              <w:t>14,2</w:t>
            </w:r>
          </w:p>
        </w:tc>
        <w:tc>
          <w:tcPr>
            <w:tcW w:w="1434" w:type="dxa"/>
            <w:tcBorders>
              <w:top w:val="nil"/>
              <w:left w:val="nil"/>
              <w:bottom w:val="single" w:sz="4" w:space="0" w:color="auto"/>
              <w:right w:val="single" w:sz="4" w:space="0" w:color="auto"/>
            </w:tcBorders>
            <w:shd w:val="clear" w:color="auto" w:fill="auto"/>
            <w:noWrap/>
            <w:vAlign w:val="bottom"/>
            <w:hideMark/>
          </w:tcPr>
          <w:p w:rsidR="00E357EB" w:rsidRDefault="00317AE7" w:rsidP="00225F59">
            <w:pPr>
              <w:jc w:val="center"/>
              <w:rPr>
                <w:rFonts w:eastAsia="Times New Roman"/>
              </w:rPr>
            </w:pPr>
            <w:r w:rsidRPr="004319F4">
              <w:rPr>
                <w:rFonts w:eastAsia="Times New Roman"/>
              </w:rPr>
              <w:t>52±</w:t>
            </w:r>
            <w:r w:rsidRPr="00821DA3">
              <w:rPr>
                <w:rFonts w:eastAsia="Times New Roman"/>
              </w:rPr>
              <w:t>8,4</w:t>
            </w:r>
          </w:p>
        </w:tc>
      </w:tr>
      <w:tr w:rsidR="004319F4" w:rsidRPr="007503A0" w:rsidTr="009E2721">
        <w:trPr>
          <w:trHeight w:val="31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r w:rsidRPr="00821DA3">
              <w:rPr>
                <w:rFonts w:eastAsia="Times New Roman"/>
              </w:rPr>
              <w:t>Hepatitis B</w:t>
            </w:r>
          </w:p>
        </w:tc>
        <w:tc>
          <w:tcPr>
            <w:tcW w:w="1719" w:type="dxa"/>
            <w:tcBorders>
              <w:top w:val="nil"/>
              <w:left w:val="nil"/>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vertAlign w:val="superscript"/>
              </w:rPr>
            </w:pPr>
            <w:r w:rsidRPr="00821DA3">
              <w:rPr>
                <w:rFonts w:eastAsia="Times New Roman"/>
              </w:rPr>
              <w:t>Zhang W</w:t>
            </w:r>
            <w:r w:rsidR="009E2721">
              <w:rPr>
                <w:rFonts w:eastAsia="Times New Roman"/>
                <w:vertAlign w:val="superscript"/>
              </w:rPr>
              <w:t>12</w:t>
            </w:r>
          </w:p>
        </w:tc>
        <w:tc>
          <w:tcPr>
            <w:tcW w:w="709"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335</w:t>
            </w:r>
          </w:p>
        </w:tc>
        <w:tc>
          <w:tcPr>
            <w:tcW w:w="1162"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5,4</w:t>
            </w:r>
          </w:p>
        </w:tc>
        <w:tc>
          <w:tcPr>
            <w:tcW w:w="1608"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6,4</w:t>
            </w:r>
          </w:p>
        </w:tc>
        <w:tc>
          <w:tcPr>
            <w:tcW w:w="1340"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63</w:t>
            </w:r>
            <w:r w:rsidRPr="007503A0">
              <w:rPr>
                <w:rFonts w:eastAsia="Times New Roman"/>
              </w:rPr>
              <w:t>±</w:t>
            </w:r>
            <w:r w:rsidRPr="00821DA3">
              <w:rPr>
                <w:rFonts w:eastAsia="Times New Roman"/>
              </w:rPr>
              <w:t>9,5</w:t>
            </w:r>
          </w:p>
        </w:tc>
        <w:tc>
          <w:tcPr>
            <w:tcW w:w="1434"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50</w:t>
            </w:r>
            <w:r w:rsidRPr="007503A0">
              <w:rPr>
                <w:rFonts w:eastAsia="Times New Roman"/>
              </w:rPr>
              <w:t>±</w:t>
            </w:r>
            <w:r w:rsidRPr="00821DA3">
              <w:rPr>
                <w:rFonts w:eastAsia="Times New Roman"/>
              </w:rPr>
              <w:t>8,4</w:t>
            </w:r>
          </w:p>
        </w:tc>
      </w:tr>
      <w:tr w:rsidR="004319F4" w:rsidRPr="007503A0" w:rsidTr="009E2721">
        <w:trPr>
          <w:trHeight w:val="36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r w:rsidRPr="00821DA3">
              <w:rPr>
                <w:rFonts w:eastAsia="Times New Roman"/>
              </w:rPr>
              <w:t>Hepatitis C</w:t>
            </w:r>
          </w:p>
        </w:tc>
        <w:tc>
          <w:tcPr>
            <w:tcW w:w="1719" w:type="dxa"/>
            <w:tcBorders>
              <w:top w:val="nil"/>
              <w:left w:val="nil"/>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proofErr w:type="spellStart"/>
            <w:r w:rsidRPr="00821DA3">
              <w:rPr>
                <w:rFonts w:eastAsia="Times New Roman"/>
              </w:rPr>
              <w:t>Taliani</w:t>
            </w:r>
            <w:proofErr w:type="spellEnd"/>
            <w:r w:rsidR="00111F99">
              <w:rPr>
                <w:rFonts w:eastAsia="Times New Roman"/>
              </w:rPr>
              <w:t xml:space="preserve"> </w:t>
            </w:r>
            <w:r w:rsidRPr="00821DA3">
              <w:rPr>
                <w:rFonts w:eastAsia="Times New Roman"/>
              </w:rPr>
              <w:t>G</w:t>
            </w:r>
            <w:r w:rsidR="009E2721">
              <w:rPr>
                <w:rFonts w:eastAsia="Times New Roman"/>
                <w:vertAlign w:val="superscript"/>
              </w:rPr>
              <w:t>15</w:t>
            </w:r>
          </w:p>
        </w:tc>
        <w:tc>
          <w:tcPr>
            <w:tcW w:w="709"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163</w:t>
            </w:r>
          </w:p>
        </w:tc>
        <w:tc>
          <w:tcPr>
            <w:tcW w:w="1162"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76</w:t>
            </w:r>
            <w:r w:rsidRPr="007503A0">
              <w:rPr>
                <w:rFonts w:eastAsia="Times New Roman"/>
              </w:rPr>
              <w:t>±</w:t>
            </w:r>
            <w:r w:rsidRPr="00821DA3">
              <w:rPr>
                <w:rFonts w:eastAsia="Times New Roman"/>
              </w:rPr>
              <w:t>14</w:t>
            </w:r>
          </w:p>
        </w:tc>
        <w:tc>
          <w:tcPr>
            <w:tcW w:w="1608"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73</w:t>
            </w:r>
            <w:r w:rsidRPr="007503A0">
              <w:rPr>
                <w:rFonts w:eastAsia="Times New Roman"/>
              </w:rPr>
              <w:t>±</w:t>
            </w:r>
            <w:r w:rsidRPr="00821DA3">
              <w:rPr>
                <w:rFonts w:eastAsia="Times New Roman"/>
              </w:rPr>
              <w:t>13</w:t>
            </w:r>
          </w:p>
        </w:tc>
        <w:tc>
          <w:tcPr>
            <w:tcW w:w="1340"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70</w:t>
            </w:r>
            <w:r w:rsidRPr="007503A0">
              <w:rPr>
                <w:rFonts w:eastAsia="Times New Roman"/>
              </w:rPr>
              <w:t>±</w:t>
            </w:r>
            <w:r w:rsidRPr="00821DA3">
              <w:rPr>
                <w:rFonts w:eastAsia="Times New Roman"/>
              </w:rPr>
              <w:t>17</w:t>
            </w:r>
          </w:p>
        </w:tc>
        <w:tc>
          <w:tcPr>
            <w:tcW w:w="1434"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61</w:t>
            </w:r>
            <w:r w:rsidRPr="007503A0">
              <w:rPr>
                <w:rFonts w:eastAsia="Times New Roman"/>
              </w:rPr>
              <w:t>±</w:t>
            </w:r>
            <w:r w:rsidRPr="00821DA3">
              <w:rPr>
                <w:rFonts w:eastAsia="Times New Roman"/>
              </w:rPr>
              <w:t>13</w:t>
            </w:r>
          </w:p>
        </w:tc>
      </w:tr>
      <w:tr w:rsidR="004319F4" w:rsidRPr="007503A0" w:rsidTr="009E2721">
        <w:trPr>
          <w:trHeight w:val="31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r w:rsidRPr="00821DA3">
              <w:rPr>
                <w:rFonts w:eastAsia="Times New Roman"/>
              </w:rPr>
              <w:t> </w:t>
            </w:r>
          </w:p>
        </w:tc>
        <w:tc>
          <w:tcPr>
            <w:tcW w:w="1719" w:type="dxa"/>
            <w:tcBorders>
              <w:top w:val="nil"/>
              <w:left w:val="nil"/>
              <w:bottom w:val="single" w:sz="4" w:space="0" w:color="auto"/>
              <w:right w:val="single" w:sz="4" w:space="0" w:color="auto"/>
            </w:tcBorders>
            <w:shd w:val="clear" w:color="auto" w:fill="auto"/>
            <w:noWrap/>
            <w:vAlign w:val="center"/>
            <w:hideMark/>
          </w:tcPr>
          <w:p w:rsidR="004319F4" w:rsidRPr="00225F59" w:rsidRDefault="004319F4" w:rsidP="00E61731">
            <w:pPr>
              <w:rPr>
                <w:rFonts w:eastAsia="Times New Roman"/>
                <w:b/>
              </w:rPr>
            </w:pPr>
            <w:r w:rsidRPr="00225F59">
              <w:rPr>
                <w:rFonts w:eastAsia="Times New Roman"/>
                <w:b/>
              </w:rPr>
              <w:t>Subtotal</w:t>
            </w:r>
          </w:p>
        </w:tc>
        <w:tc>
          <w:tcPr>
            <w:tcW w:w="709" w:type="dxa"/>
            <w:tcBorders>
              <w:top w:val="nil"/>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498</w:t>
            </w:r>
          </w:p>
        </w:tc>
        <w:tc>
          <w:tcPr>
            <w:tcW w:w="1162" w:type="dxa"/>
            <w:tcBorders>
              <w:top w:val="nil"/>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58±8,2</w:t>
            </w:r>
          </w:p>
        </w:tc>
        <w:tc>
          <w:tcPr>
            <w:tcW w:w="1608" w:type="dxa"/>
            <w:tcBorders>
              <w:top w:val="nil"/>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57±8,6</w:t>
            </w:r>
          </w:p>
        </w:tc>
        <w:tc>
          <w:tcPr>
            <w:tcW w:w="1340" w:type="dxa"/>
            <w:tcBorders>
              <w:top w:val="nil"/>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65±12</w:t>
            </w:r>
          </w:p>
        </w:tc>
        <w:tc>
          <w:tcPr>
            <w:tcW w:w="1434" w:type="dxa"/>
            <w:tcBorders>
              <w:top w:val="nil"/>
              <w:left w:val="nil"/>
              <w:bottom w:val="single" w:sz="4" w:space="0" w:color="auto"/>
              <w:right w:val="single" w:sz="4" w:space="0" w:color="auto"/>
            </w:tcBorders>
            <w:shd w:val="clear" w:color="auto" w:fill="auto"/>
            <w:noWrap/>
            <w:vAlign w:val="bottom"/>
            <w:hideMark/>
          </w:tcPr>
          <w:p w:rsidR="004319F4" w:rsidRPr="00225F59" w:rsidRDefault="004319F4" w:rsidP="00225F59">
            <w:pPr>
              <w:jc w:val="center"/>
              <w:rPr>
                <w:rFonts w:eastAsia="Times New Roman"/>
                <w:b/>
              </w:rPr>
            </w:pPr>
            <w:r w:rsidRPr="00225F59">
              <w:rPr>
                <w:rFonts w:eastAsia="Times New Roman"/>
                <w:b/>
              </w:rPr>
              <w:t>54±9,9</w:t>
            </w:r>
          </w:p>
        </w:tc>
      </w:tr>
      <w:tr w:rsidR="004319F4" w:rsidRPr="007503A0" w:rsidTr="009E2721">
        <w:trPr>
          <w:trHeight w:val="36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r w:rsidRPr="00821DA3">
              <w:rPr>
                <w:rFonts w:eastAsia="Times New Roman"/>
              </w:rPr>
              <w:t>Chagas</w:t>
            </w:r>
          </w:p>
        </w:tc>
        <w:tc>
          <w:tcPr>
            <w:tcW w:w="1719" w:type="dxa"/>
            <w:tcBorders>
              <w:top w:val="nil"/>
              <w:left w:val="nil"/>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proofErr w:type="spellStart"/>
            <w:r w:rsidRPr="00821DA3">
              <w:rPr>
                <w:rFonts w:eastAsia="Times New Roman"/>
              </w:rPr>
              <w:t>Ozaki</w:t>
            </w:r>
            <w:proofErr w:type="spellEnd"/>
            <w:r w:rsidR="00111F99">
              <w:rPr>
                <w:rFonts w:eastAsia="Times New Roman"/>
              </w:rPr>
              <w:t xml:space="preserve"> </w:t>
            </w:r>
            <w:r w:rsidRPr="00821DA3">
              <w:rPr>
                <w:rFonts w:eastAsia="Times New Roman"/>
              </w:rPr>
              <w:t>Y</w:t>
            </w:r>
            <w:r w:rsidR="009E2721">
              <w:rPr>
                <w:rFonts w:eastAsia="Times New Roman"/>
                <w:vertAlign w:val="superscript"/>
              </w:rPr>
              <w:t>19</w:t>
            </w:r>
          </w:p>
        </w:tc>
        <w:tc>
          <w:tcPr>
            <w:tcW w:w="709"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110</w:t>
            </w:r>
          </w:p>
        </w:tc>
        <w:tc>
          <w:tcPr>
            <w:tcW w:w="1162"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59±14,51</w:t>
            </w:r>
          </w:p>
        </w:tc>
        <w:tc>
          <w:tcPr>
            <w:tcW w:w="1608"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61±14,</w:t>
            </w:r>
            <w:r>
              <w:rPr>
                <w:rFonts w:eastAsia="Times New Roman"/>
              </w:rPr>
              <w:t>1</w:t>
            </w:r>
          </w:p>
        </w:tc>
        <w:tc>
          <w:tcPr>
            <w:tcW w:w="1340"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7503A0">
              <w:rPr>
                <w:rFonts w:eastAsia="Times New Roman"/>
              </w:rPr>
              <w:t>64±13,4</w:t>
            </w:r>
          </w:p>
        </w:tc>
        <w:tc>
          <w:tcPr>
            <w:tcW w:w="1434"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sidRPr="00821DA3">
              <w:rPr>
                <w:rFonts w:eastAsia="Times New Roman"/>
              </w:rPr>
              <w:t>53±10,5</w:t>
            </w:r>
          </w:p>
        </w:tc>
      </w:tr>
      <w:tr w:rsidR="004319F4" w:rsidRPr="007503A0" w:rsidTr="009E2721">
        <w:trPr>
          <w:trHeight w:val="36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r w:rsidRPr="00821DA3">
              <w:rPr>
                <w:rFonts w:eastAsia="Times New Roman"/>
              </w:rPr>
              <w:t>HTLV1</w:t>
            </w:r>
          </w:p>
        </w:tc>
        <w:tc>
          <w:tcPr>
            <w:tcW w:w="1719" w:type="dxa"/>
            <w:tcBorders>
              <w:top w:val="nil"/>
              <w:left w:val="nil"/>
              <w:bottom w:val="single" w:sz="4" w:space="0" w:color="auto"/>
              <w:right w:val="single" w:sz="4" w:space="0" w:color="auto"/>
            </w:tcBorders>
            <w:shd w:val="clear" w:color="auto" w:fill="auto"/>
            <w:noWrap/>
            <w:vAlign w:val="center"/>
            <w:hideMark/>
          </w:tcPr>
          <w:p w:rsidR="004319F4" w:rsidRPr="00821DA3" w:rsidRDefault="004319F4" w:rsidP="00E61731">
            <w:pPr>
              <w:rPr>
                <w:rFonts w:eastAsia="Times New Roman"/>
              </w:rPr>
            </w:pPr>
            <w:proofErr w:type="spellStart"/>
            <w:r w:rsidRPr="00821DA3">
              <w:rPr>
                <w:rFonts w:eastAsia="Times New Roman"/>
              </w:rPr>
              <w:t>Galvao</w:t>
            </w:r>
            <w:proofErr w:type="spellEnd"/>
            <w:r w:rsidR="00111F99">
              <w:rPr>
                <w:rFonts w:eastAsia="Times New Roman"/>
              </w:rPr>
              <w:t xml:space="preserve"> </w:t>
            </w:r>
            <w:r w:rsidRPr="00821DA3">
              <w:rPr>
                <w:rFonts w:eastAsia="Times New Roman"/>
              </w:rPr>
              <w:t>A</w:t>
            </w:r>
            <w:r w:rsidR="009E2721">
              <w:rPr>
                <w:rFonts w:eastAsia="Times New Roman"/>
                <w:vertAlign w:val="superscript"/>
              </w:rPr>
              <w:t>20</w:t>
            </w:r>
          </w:p>
        </w:tc>
        <w:tc>
          <w:tcPr>
            <w:tcW w:w="709" w:type="dxa"/>
            <w:tcBorders>
              <w:top w:val="nil"/>
              <w:left w:val="nil"/>
              <w:bottom w:val="single" w:sz="4" w:space="0" w:color="auto"/>
              <w:right w:val="single" w:sz="4" w:space="0" w:color="auto"/>
            </w:tcBorders>
            <w:shd w:val="clear" w:color="auto" w:fill="auto"/>
            <w:noWrap/>
            <w:vAlign w:val="bottom"/>
            <w:hideMark/>
          </w:tcPr>
          <w:p w:rsidR="004319F4" w:rsidRPr="00821DA3" w:rsidRDefault="004319F4" w:rsidP="00225F59">
            <w:pPr>
              <w:jc w:val="center"/>
              <w:rPr>
                <w:rFonts w:eastAsia="Times New Roman"/>
              </w:rPr>
            </w:pPr>
            <w:r>
              <w:rPr>
                <w:rFonts w:eastAsia="Times New Roman"/>
              </w:rPr>
              <w:t>88</w:t>
            </w:r>
          </w:p>
        </w:tc>
        <w:tc>
          <w:tcPr>
            <w:tcW w:w="1162" w:type="dxa"/>
            <w:tcBorders>
              <w:top w:val="nil"/>
              <w:left w:val="nil"/>
              <w:bottom w:val="single" w:sz="4" w:space="0" w:color="auto"/>
              <w:right w:val="single" w:sz="4" w:space="0" w:color="auto"/>
            </w:tcBorders>
            <w:shd w:val="clear" w:color="auto" w:fill="auto"/>
            <w:noWrap/>
            <w:vAlign w:val="bottom"/>
            <w:hideMark/>
          </w:tcPr>
          <w:p w:rsidR="004319F4" w:rsidRPr="006D0572" w:rsidRDefault="004319F4" w:rsidP="00225F59">
            <w:pPr>
              <w:jc w:val="center"/>
              <w:rPr>
                <w:rFonts w:eastAsia="Times New Roman"/>
              </w:rPr>
            </w:pPr>
            <w:r>
              <w:rPr>
                <w:rFonts w:eastAsia="Times New Roman"/>
              </w:rPr>
              <w:t>50±12,1</w:t>
            </w:r>
          </w:p>
        </w:tc>
        <w:tc>
          <w:tcPr>
            <w:tcW w:w="1608" w:type="dxa"/>
            <w:tcBorders>
              <w:top w:val="nil"/>
              <w:left w:val="nil"/>
              <w:bottom w:val="single" w:sz="4" w:space="0" w:color="auto"/>
              <w:right w:val="single" w:sz="4" w:space="0" w:color="auto"/>
            </w:tcBorders>
            <w:shd w:val="clear" w:color="auto" w:fill="auto"/>
            <w:noWrap/>
            <w:vAlign w:val="bottom"/>
            <w:hideMark/>
          </w:tcPr>
          <w:p w:rsidR="004319F4" w:rsidRPr="00194E1F" w:rsidRDefault="004319F4" w:rsidP="00225F59">
            <w:pPr>
              <w:jc w:val="center"/>
              <w:rPr>
                <w:rFonts w:eastAsia="Times New Roman"/>
              </w:rPr>
            </w:pPr>
            <w:r w:rsidRPr="00194E1F">
              <w:rPr>
                <w:rFonts w:eastAsia="Times New Roman"/>
              </w:rPr>
              <w:t>5</w:t>
            </w:r>
            <w:r>
              <w:rPr>
                <w:rFonts w:eastAsia="Times New Roman"/>
              </w:rPr>
              <w:t>9,5±1</w:t>
            </w:r>
            <w:r w:rsidRPr="006D0572">
              <w:rPr>
                <w:rFonts w:eastAsia="Times New Roman"/>
              </w:rPr>
              <w:t>3,</w:t>
            </w:r>
            <w:r>
              <w:rPr>
                <w:rFonts w:eastAsia="Times New Roman"/>
              </w:rPr>
              <w:t>1</w:t>
            </w:r>
          </w:p>
        </w:tc>
        <w:tc>
          <w:tcPr>
            <w:tcW w:w="1340" w:type="dxa"/>
            <w:tcBorders>
              <w:top w:val="nil"/>
              <w:left w:val="nil"/>
              <w:bottom w:val="single" w:sz="4" w:space="0" w:color="auto"/>
              <w:right w:val="single" w:sz="4" w:space="0" w:color="auto"/>
            </w:tcBorders>
            <w:shd w:val="clear" w:color="auto" w:fill="auto"/>
            <w:noWrap/>
            <w:vAlign w:val="bottom"/>
            <w:hideMark/>
          </w:tcPr>
          <w:p w:rsidR="004319F4" w:rsidRPr="006D0572" w:rsidRDefault="004319F4" w:rsidP="00225F59">
            <w:pPr>
              <w:jc w:val="center"/>
              <w:rPr>
                <w:rFonts w:eastAsia="Times New Roman"/>
              </w:rPr>
            </w:pPr>
            <w:r>
              <w:rPr>
                <w:rFonts w:eastAsia="Times New Roman"/>
              </w:rPr>
              <w:t>63,0±14,8</w:t>
            </w:r>
          </w:p>
        </w:tc>
        <w:tc>
          <w:tcPr>
            <w:tcW w:w="1434" w:type="dxa"/>
            <w:tcBorders>
              <w:top w:val="nil"/>
              <w:left w:val="nil"/>
              <w:bottom w:val="single" w:sz="4" w:space="0" w:color="auto"/>
              <w:right w:val="single" w:sz="4" w:space="0" w:color="auto"/>
            </w:tcBorders>
            <w:shd w:val="clear" w:color="auto" w:fill="auto"/>
            <w:noWrap/>
            <w:vAlign w:val="bottom"/>
            <w:hideMark/>
          </w:tcPr>
          <w:p w:rsidR="004319F4" w:rsidRPr="006D0572" w:rsidRDefault="004319F4" w:rsidP="00225F59">
            <w:pPr>
              <w:jc w:val="center"/>
              <w:rPr>
                <w:rFonts w:eastAsia="Times New Roman"/>
              </w:rPr>
            </w:pPr>
            <w:r>
              <w:rPr>
                <w:rFonts w:eastAsia="Times New Roman"/>
              </w:rPr>
              <w:t>53±7,6</w:t>
            </w:r>
          </w:p>
        </w:tc>
      </w:tr>
      <w:tr w:rsidR="00873B34" w:rsidRPr="00225F59" w:rsidTr="009E2721">
        <w:trPr>
          <w:trHeight w:val="315"/>
        </w:trPr>
        <w:tc>
          <w:tcPr>
            <w:tcW w:w="3065" w:type="dxa"/>
            <w:gridSpan w:val="2"/>
            <w:tcBorders>
              <w:top w:val="single" w:sz="4" w:space="0" w:color="auto"/>
              <w:left w:val="single" w:sz="4" w:space="0" w:color="auto"/>
              <w:bottom w:val="single" w:sz="4" w:space="0" w:color="auto"/>
              <w:right w:val="single" w:sz="4" w:space="0" w:color="auto"/>
            </w:tcBorders>
            <w:vAlign w:val="center"/>
            <w:hideMark/>
          </w:tcPr>
          <w:p w:rsidR="00873B34" w:rsidRPr="00225F59" w:rsidRDefault="00873B34" w:rsidP="00E61731">
            <w:pPr>
              <w:rPr>
                <w:rFonts w:eastAsia="Times New Roman"/>
                <w:b/>
              </w:rPr>
            </w:pPr>
            <w:r w:rsidRPr="00225F59">
              <w:rPr>
                <w:rFonts w:eastAsia="Times New Roman"/>
                <w:b/>
              </w:rPr>
              <w:t>TOTAL</w:t>
            </w:r>
          </w:p>
        </w:tc>
        <w:tc>
          <w:tcPr>
            <w:tcW w:w="709" w:type="dxa"/>
            <w:tcBorders>
              <w:top w:val="single" w:sz="4" w:space="0" w:color="auto"/>
              <w:left w:val="single" w:sz="4" w:space="0" w:color="auto"/>
              <w:bottom w:val="single" w:sz="4" w:space="0" w:color="auto"/>
              <w:right w:val="single" w:sz="4" w:space="0" w:color="auto"/>
            </w:tcBorders>
            <w:vAlign w:val="center"/>
            <w:hideMark/>
          </w:tcPr>
          <w:p w:rsidR="00873B34" w:rsidRPr="00225F59" w:rsidRDefault="00873B34" w:rsidP="00E61731">
            <w:pPr>
              <w:rPr>
                <w:rFonts w:eastAsia="Times New Roman"/>
                <w:b/>
              </w:rPr>
            </w:pPr>
            <w:r w:rsidRPr="00225F59">
              <w:rPr>
                <w:rFonts w:eastAsia="Times New Roman"/>
                <w:b/>
              </w:rPr>
              <w:t>2013</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873B34" w:rsidRPr="00225F59" w:rsidRDefault="00873B34" w:rsidP="00225F59">
            <w:pPr>
              <w:jc w:val="center"/>
              <w:rPr>
                <w:rFonts w:eastAsia="Times New Roman"/>
                <w:b/>
                <w:color w:val="000000"/>
              </w:rPr>
            </w:pPr>
            <w:r w:rsidRPr="00225F59">
              <w:rPr>
                <w:rFonts w:eastAsia="Times New Roman"/>
                <w:b/>
                <w:color w:val="000000"/>
              </w:rPr>
              <w:t>58</w:t>
            </w:r>
            <w:r w:rsidRPr="00225F59">
              <w:rPr>
                <w:rFonts w:eastAsia="Times New Roman"/>
                <w:b/>
              </w:rPr>
              <w:t>±11,9</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873B34" w:rsidRPr="00225F59" w:rsidRDefault="00873B34" w:rsidP="00225F59">
            <w:pPr>
              <w:jc w:val="center"/>
              <w:rPr>
                <w:rFonts w:eastAsia="Times New Roman"/>
                <w:b/>
                <w:color w:val="000000"/>
              </w:rPr>
            </w:pPr>
            <w:r w:rsidRPr="00225F59">
              <w:rPr>
                <w:rFonts w:eastAsia="Times New Roman"/>
                <w:b/>
              </w:rPr>
              <w:t>60±12,4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3B34" w:rsidRPr="00225F59" w:rsidRDefault="00873B34" w:rsidP="00225F59">
            <w:pPr>
              <w:jc w:val="center"/>
              <w:rPr>
                <w:rFonts w:eastAsia="Times New Roman"/>
                <w:b/>
                <w:color w:val="000000"/>
              </w:rPr>
            </w:pPr>
            <w:r w:rsidRPr="00225F59">
              <w:rPr>
                <w:rFonts w:eastAsia="Times New Roman"/>
                <w:b/>
              </w:rPr>
              <w:t>62±14,7</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873B34" w:rsidRPr="00225F59" w:rsidRDefault="00873B34" w:rsidP="00225F59">
            <w:pPr>
              <w:jc w:val="center"/>
              <w:rPr>
                <w:rFonts w:eastAsia="Times New Roman"/>
                <w:b/>
                <w:color w:val="000000"/>
              </w:rPr>
            </w:pPr>
            <w:r w:rsidRPr="00225F59">
              <w:rPr>
                <w:rFonts w:eastAsia="Times New Roman"/>
                <w:b/>
              </w:rPr>
              <w:t>56±11,8</w:t>
            </w:r>
          </w:p>
        </w:tc>
      </w:tr>
    </w:tbl>
    <w:p w:rsidR="00B3510E" w:rsidRDefault="00B3510E" w:rsidP="00E61731">
      <w:r>
        <w:br w:type="page"/>
      </w:r>
    </w:p>
    <w:p w:rsidR="006D0572" w:rsidRPr="00225F59" w:rsidRDefault="00B3510E" w:rsidP="00E61731">
      <w:pPr>
        <w:rPr>
          <w:b/>
        </w:rPr>
      </w:pPr>
      <w:r w:rsidRPr="00225F59">
        <w:rPr>
          <w:b/>
        </w:rPr>
        <w:lastRenderedPageBreak/>
        <w:t>Tabla 4. Comparación de la calidad de vida relacionada con la salud, según el tipo de infección.</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728"/>
        <w:gridCol w:w="1855"/>
        <w:gridCol w:w="1370"/>
        <w:gridCol w:w="1625"/>
        <w:gridCol w:w="1221"/>
        <w:gridCol w:w="1411"/>
      </w:tblGrid>
      <w:tr w:rsidR="00CD5722" w:rsidRPr="00940CC4" w:rsidTr="006E3923">
        <w:trPr>
          <w:trHeight w:val="300"/>
        </w:trPr>
        <w:tc>
          <w:tcPr>
            <w:tcW w:w="1945" w:type="pct"/>
            <w:gridSpan w:val="2"/>
            <w:vMerge w:val="restart"/>
            <w:shd w:val="clear" w:color="auto" w:fill="auto"/>
            <w:noWrap/>
            <w:vAlign w:val="center"/>
            <w:hideMark/>
          </w:tcPr>
          <w:p w:rsidR="00CD5722" w:rsidRPr="00225F59" w:rsidRDefault="00CD5722" w:rsidP="00225F59">
            <w:pPr>
              <w:jc w:val="center"/>
              <w:rPr>
                <w:rFonts w:eastAsia="Times New Roman"/>
                <w:b/>
              </w:rPr>
            </w:pPr>
            <w:bookmarkStart w:id="24" w:name="_GoBack"/>
            <w:bookmarkEnd w:id="24"/>
            <w:r w:rsidRPr="00225F59">
              <w:rPr>
                <w:rFonts w:eastAsia="Times New Roman"/>
                <w:b/>
              </w:rPr>
              <w:t>Infección</w:t>
            </w:r>
          </w:p>
        </w:tc>
        <w:tc>
          <w:tcPr>
            <w:tcW w:w="3055" w:type="pct"/>
            <w:gridSpan w:val="4"/>
            <w:shd w:val="clear" w:color="auto" w:fill="auto"/>
            <w:noWrap/>
            <w:vAlign w:val="bottom"/>
            <w:hideMark/>
          </w:tcPr>
          <w:p w:rsidR="00CD5722" w:rsidRPr="00225F59" w:rsidRDefault="00CD5722" w:rsidP="00225F59">
            <w:pPr>
              <w:jc w:val="center"/>
              <w:rPr>
                <w:rFonts w:eastAsia="Times New Roman"/>
                <w:b/>
                <w:lang w:val="en-US"/>
              </w:rPr>
            </w:pPr>
            <w:r w:rsidRPr="00225F59">
              <w:rPr>
                <w:rFonts w:eastAsia="Times New Roman"/>
                <w:b/>
                <w:lang w:val="en-US"/>
              </w:rPr>
              <w:t>WHOQOL-BREF (IC X</w:t>
            </w:r>
            <w:r w:rsidRPr="00225F59">
              <w:rPr>
                <w:rFonts w:eastAsia="Times New Roman"/>
                <w:b/>
                <w:vertAlign w:val="subscript"/>
                <w:lang w:val="en-US"/>
              </w:rPr>
              <w:t>1</w:t>
            </w:r>
            <w:r w:rsidRPr="00225F59">
              <w:rPr>
                <w:rFonts w:eastAsia="Times New Roman"/>
                <w:b/>
                <w:lang w:val="en-US"/>
              </w:rPr>
              <w:t>-X</w:t>
            </w:r>
            <w:r w:rsidRPr="00225F59">
              <w:rPr>
                <w:rFonts w:eastAsia="Times New Roman"/>
                <w:b/>
                <w:vertAlign w:val="subscript"/>
                <w:lang w:val="en-US"/>
              </w:rPr>
              <w:t>2</w:t>
            </w:r>
            <w:r w:rsidRPr="00225F59">
              <w:rPr>
                <w:rFonts w:eastAsia="Times New Roman"/>
                <w:b/>
                <w:lang w:val="en-US"/>
              </w:rPr>
              <w:t>)</w:t>
            </w:r>
            <w:r w:rsidRPr="00225F59">
              <w:rPr>
                <w:rFonts w:ascii="Lucida Sans Unicode" w:eastAsia="Times New Roman" w:hAnsi="Lucida Sans Unicode" w:cs="Lucida Sans Unicode"/>
                <w:b/>
                <w:vertAlign w:val="superscript"/>
                <w:lang w:val="en-US"/>
              </w:rPr>
              <w:t>ƚ</w:t>
            </w:r>
          </w:p>
        </w:tc>
      </w:tr>
      <w:tr w:rsidR="00CD5722" w:rsidRPr="00225F59" w:rsidTr="006E3923">
        <w:trPr>
          <w:trHeight w:val="300"/>
        </w:trPr>
        <w:tc>
          <w:tcPr>
            <w:tcW w:w="1945" w:type="pct"/>
            <w:gridSpan w:val="2"/>
            <w:vMerge/>
            <w:shd w:val="clear" w:color="auto" w:fill="auto"/>
            <w:noWrap/>
            <w:vAlign w:val="bottom"/>
          </w:tcPr>
          <w:p w:rsidR="00E357EB" w:rsidRPr="00225F59" w:rsidRDefault="00E357EB">
            <w:pPr>
              <w:rPr>
                <w:rFonts w:eastAsia="Times New Roman"/>
                <w:b/>
                <w:sz w:val="22"/>
                <w:szCs w:val="22"/>
                <w:lang w:val="en-US"/>
                <w:rPrChange w:id="25" w:author="Ibeth" w:date="2013-02-28T17:14:00Z">
                  <w:rPr>
                    <w:rFonts w:eastAsia="Times New Roman"/>
                    <w:lang w:val="en-US"/>
                  </w:rPr>
                </w:rPrChange>
              </w:rPr>
            </w:pPr>
          </w:p>
        </w:tc>
        <w:tc>
          <w:tcPr>
            <w:tcW w:w="744" w:type="pct"/>
            <w:shd w:val="clear" w:color="auto" w:fill="auto"/>
            <w:noWrap/>
            <w:vAlign w:val="bottom"/>
          </w:tcPr>
          <w:p w:rsidR="00E357EB" w:rsidRPr="001C52AE" w:rsidRDefault="00CD5722" w:rsidP="00225F59">
            <w:pPr>
              <w:jc w:val="center"/>
              <w:rPr>
                <w:rFonts w:eastAsia="Times New Roman"/>
                <w:b/>
              </w:rPr>
            </w:pPr>
            <w:r w:rsidRPr="001C52AE">
              <w:rPr>
                <w:rFonts w:eastAsia="Times New Roman"/>
                <w:b/>
              </w:rPr>
              <w:t>Físico</w:t>
            </w:r>
          </w:p>
        </w:tc>
        <w:tc>
          <w:tcPr>
            <w:tcW w:w="882" w:type="pct"/>
            <w:shd w:val="clear" w:color="auto" w:fill="auto"/>
            <w:noWrap/>
            <w:vAlign w:val="bottom"/>
          </w:tcPr>
          <w:p w:rsidR="00E357EB" w:rsidRPr="001C52AE" w:rsidRDefault="00CD5722" w:rsidP="00225F59">
            <w:pPr>
              <w:jc w:val="center"/>
              <w:rPr>
                <w:rFonts w:eastAsia="Times New Roman"/>
                <w:b/>
              </w:rPr>
            </w:pPr>
            <w:r w:rsidRPr="001C52AE">
              <w:rPr>
                <w:rFonts w:eastAsia="Times New Roman"/>
                <w:b/>
              </w:rPr>
              <w:t>Psicológica</w:t>
            </w:r>
          </w:p>
        </w:tc>
        <w:tc>
          <w:tcPr>
            <w:tcW w:w="663" w:type="pct"/>
            <w:shd w:val="clear" w:color="auto" w:fill="auto"/>
            <w:noWrap/>
            <w:vAlign w:val="bottom"/>
          </w:tcPr>
          <w:p w:rsidR="00E357EB" w:rsidRPr="001C52AE" w:rsidRDefault="00CD5722" w:rsidP="00225F59">
            <w:pPr>
              <w:jc w:val="center"/>
              <w:rPr>
                <w:rFonts w:eastAsia="Times New Roman"/>
                <w:b/>
              </w:rPr>
            </w:pPr>
            <w:r w:rsidRPr="001C52AE">
              <w:rPr>
                <w:rFonts w:eastAsia="Times New Roman"/>
                <w:b/>
              </w:rPr>
              <w:t>Social</w:t>
            </w:r>
          </w:p>
        </w:tc>
        <w:tc>
          <w:tcPr>
            <w:tcW w:w="766" w:type="pct"/>
            <w:shd w:val="clear" w:color="auto" w:fill="auto"/>
            <w:noWrap/>
            <w:vAlign w:val="bottom"/>
          </w:tcPr>
          <w:p w:rsidR="00E357EB" w:rsidRPr="001C52AE" w:rsidRDefault="00CD5722" w:rsidP="00225F59">
            <w:pPr>
              <w:jc w:val="center"/>
              <w:rPr>
                <w:rFonts w:eastAsia="Times New Roman"/>
                <w:b/>
              </w:rPr>
            </w:pPr>
            <w:r w:rsidRPr="001C52AE">
              <w:rPr>
                <w:rFonts w:eastAsia="Times New Roman"/>
                <w:b/>
              </w:rPr>
              <w:t>Ambiental</w:t>
            </w:r>
          </w:p>
        </w:tc>
      </w:tr>
      <w:tr w:rsidR="006E3923" w:rsidRPr="006D0572" w:rsidTr="007D6378">
        <w:trPr>
          <w:trHeight w:val="300"/>
        </w:trPr>
        <w:tc>
          <w:tcPr>
            <w:tcW w:w="938" w:type="pct"/>
            <w:vMerge w:val="restart"/>
            <w:shd w:val="clear" w:color="auto" w:fill="auto"/>
            <w:noWrap/>
            <w:vAlign w:val="center"/>
          </w:tcPr>
          <w:p w:rsidR="006E3923" w:rsidRPr="006D0572" w:rsidRDefault="006E3923" w:rsidP="00E61731">
            <w:pPr>
              <w:rPr>
                <w:rFonts w:eastAsia="Times New Roman"/>
              </w:rPr>
            </w:pPr>
            <w:r>
              <w:rPr>
                <w:rFonts w:eastAsia="Times New Roman"/>
              </w:rPr>
              <w:t>VIH/Sida</w:t>
            </w:r>
          </w:p>
        </w:tc>
        <w:tc>
          <w:tcPr>
            <w:tcW w:w="1007" w:type="pct"/>
            <w:shd w:val="clear" w:color="auto" w:fill="auto"/>
            <w:noWrap/>
            <w:vAlign w:val="bottom"/>
          </w:tcPr>
          <w:p w:rsidR="006E3923" w:rsidRPr="006D0572" w:rsidRDefault="006E3923" w:rsidP="00E61731">
            <w:pPr>
              <w:rPr>
                <w:rFonts w:eastAsia="Times New Roman"/>
              </w:rPr>
            </w:pPr>
            <w:r>
              <w:rPr>
                <w:rFonts w:eastAsia="Times New Roman"/>
              </w:rPr>
              <w:t>Lepra</w:t>
            </w:r>
          </w:p>
        </w:tc>
        <w:tc>
          <w:tcPr>
            <w:tcW w:w="744" w:type="pct"/>
            <w:shd w:val="clear" w:color="auto" w:fill="auto"/>
            <w:noWrap/>
            <w:vAlign w:val="bottom"/>
          </w:tcPr>
          <w:p w:rsidR="006E3923" w:rsidRPr="006D0572" w:rsidRDefault="007D6378" w:rsidP="00225F59">
            <w:pPr>
              <w:jc w:val="center"/>
              <w:rPr>
                <w:rFonts w:eastAsia="Times New Roman"/>
              </w:rPr>
            </w:pPr>
            <w:r>
              <w:rPr>
                <w:rFonts w:eastAsia="Times New Roman"/>
              </w:rPr>
              <w:t>13,5;16,5*</w:t>
            </w:r>
          </w:p>
        </w:tc>
        <w:tc>
          <w:tcPr>
            <w:tcW w:w="882" w:type="pct"/>
            <w:shd w:val="clear" w:color="auto" w:fill="auto"/>
            <w:noWrap/>
            <w:vAlign w:val="bottom"/>
          </w:tcPr>
          <w:p w:rsidR="006E3923" w:rsidRPr="00194E1F" w:rsidRDefault="007D6378" w:rsidP="00225F59">
            <w:pPr>
              <w:jc w:val="center"/>
              <w:rPr>
                <w:rFonts w:eastAsia="Times New Roman"/>
              </w:rPr>
            </w:pPr>
            <w:r>
              <w:rPr>
                <w:rFonts w:eastAsia="Times New Roman"/>
              </w:rPr>
              <w:t>8,5;11,5*</w:t>
            </w:r>
          </w:p>
        </w:tc>
        <w:tc>
          <w:tcPr>
            <w:tcW w:w="663" w:type="pct"/>
            <w:shd w:val="clear" w:color="auto" w:fill="auto"/>
            <w:noWrap/>
            <w:vAlign w:val="bottom"/>
          </w:tcPr>
          <w:p w:rsidR="006E3923" w:rsidRPr="006D0572" w:rsidRDefault="007D6378" w:rsidP="00225F59">
            <w:pPr>
              <w:jc w:val="center"/>
              <w:rPr>
                <w:rFonts w:eastAsia="Times New Roman"/>
              </w:rPr>
            </w:pPr>
            <w:r>
              <w:rPr>
                <w:rFonts w:eastAsia="Times New Roman"/>
              </w:rPr>
              <w:t>-4,3;-0,7</w:t>
            </w:r>
            <w:r w:rsidR="004319F4">
              <w:rPr>
                <w:rFonts w:eastAsia="Times New Roman"/>
              </w:rPr>
              <w:t>*</w:t>
            </w:r>
          </w:p>
        </w:tc>
        <w:tc>
          <w:tcPr>
            <w:tcW w:w="766" w:type="pct"/>
            <w:shd w:val="clear" w:color="auto" w:fill="auto"/>
            <w:noWrap/>
            <w:vAlign w:val="bottom"/>
          </w:tcPr>
          <w:p w:rsidR="006E3923" w:rsidRPr="006D0572" w:rsidRDefault="007D6378" w:rsidP="00225F59">
            <w:pPr>
              <w:jc w:val="center"/>
              <w:rPr>
                <w:rFonts w:eastAsia="Times New Roman"/>
              </w:rPr>
            </w:pPr>
            <w:r>
              <w:rPr>
                <w:rFonts w:eastAsia="Times New Roman"/>
              </w:rPr>
              <w:t>5,7;8,3</w:t>
            </w:r>
            <w:r w:rsidR="00387693">
              <w:rPr>
                <w:rFonts w:eastAsia="Times New Roman"/>
              </w:rPr>
              <w:t>*</w:t>
            </w:r>
          </w:p>
        </w:tc>
      </w:tr>
      <w:tr w:rsidR="006E3923"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6E3923" w:rsidP="00E61731">
            <w:pPr>
              <w:rPr>
                <w:rFonts w:eastAsia="Times New Roman"/>
              </w:rPr>
            </w:pPr>
            <w:r>
              <w:rPr>
                <w:rFonts w:eastAsia="Times New Roman"/>
              </w:rPr>
              <w:t>Hepatitis B y C</w:t>
            </w:r>
          </w:p>
        </w:tc>
        <w:tc>
          <w:tcPr>
            <w:tcW w:w="744" w:type="pct"/>
            <w:shd w:val="clear" w:color="auto" w:fill="auto"/>
            <w:noWrap/>
            <w:vAlign w:val="bottom"/>
          </w:tcPr>
          <w:p w:rsidR="00E357EB" w:rsidRDefault="006E3923" w:rsidP="00225F59">
            <w:pPr>
              <w:jc w:val="center"/>
              <w:rPr>
                <w:rFonts w:eastAsia="Times New Roman"/>
              </w:rPr>
            </w:pPr>
            <w:r>
              <w:rPr>
                <w:rFonts w:eastAsia="Times New Roman"/>
              </w:rPr>
              <w:t>2,3;4,5*</w:t>
            </w:r>
          </w:p>
        </w:tc>
        <w:tc>
          <w:tcPr>
            <w:tcW w:w="882" w:type="pct"/>
            <w:shd w:val="clear" w:color="auto" w:fill="auto"/>
            <w:noWrap/>
            <w:vAlign w:val="bottom"/>
          </w:tcPr>
          <w:p w:rsidR="00E357EB" w:rsidRDefault="006E3923" w:rsidP="00225F59">
            <w:pPr>
              <w:jc w:val="center"/>
              <w:rPr>
                <w:rFonts w:eastAsia="Times New Roman"/>
              </w:rPr>
            </w:pPr>
            <w:r>
              <w:rPr>
                <w:rFonts w:eastAsia="Times New Roman"/>
              </w:rPr>
              <w:t>5,0;7,4*</w:t>
            </w:r>
          </w:p>
        </w:tc>
        <w:tc>
          <w:tcPr>
            <w:tcW w:w="663" w:type="pct"/>
            <w:shd w:val="clear" w:color="auto" w:fill="auto"/>
            <w:noWrap/>
            <w:vAlign w:val="bottom"/>
          </w:tcPr>
          <w:p w:rsidR="00E357EB" w:rsidRDefault="006E3923" w:rsidP="00225F59">
            <w:pPr>
              <w:jc w:val="center"/>
              <w:rPr>
                <w:rFonts w:eastAsia="Times New Roman"/>
              </w:rPr>
            </w:pPr>
            <w:r>
              <w:rPr>
                <w:rFonts w:eastAsia="Times New Roman"/>
              </w:rPr>
              <w:t>-6,3;-3,3*</w:t>
            </w:r>
          </w:p>
        </w:tc>
        <w:tc>
          <w:tcPr>
            <w:tcW w:w="766" w:type="pct"/>
            <w:shd w:val="clear" w:color="auto" w:fill="auto"/>
            <w:noWrap/>
            <w:vAlign w:val="bottom"/>
          </w:tcPr>
          <w:p w:rsidR="00E357EB" w:rsidRDefault="006E3923" w:rsidP="00225F59">
            <w:pPr>
              <w:jc w:val="center"/>
              <w:rPr>
                <w:rFonts w:eastAsia="Times New Roman"/>
              </w:rPr>
            </w:pPr>
            <w:r>
              <w:rPr>
                <w:rFonts w:eastAsia="Times New Roman"/>
              </w:rPr>
              <w:t>4,3;6,9*</w:t>
            </w:r>
          </w:p>
        </w:tc>
      </w:tr>
      <w:tr w:rsidR="006E3923"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6E3923" w:rsidP="00E61731">
            <w:pPr>
              <w:rPr>
                <w:rFonts w:eastAsia="Times New Roman"/>
              </w:rPr>
            </w:pPr>
            <w:r>
              <w:rPr>
                <w:rFonts w:eastAsia="Times New Roman"/>
              </w:rPr>
              <w:t>Chagas</w:t>
            </w:r>
          </w:p>
        </w:tc>
        <w:tc>
          <w:tcPr>
            <w:tcW w:w="744" w:type="pct"/>
            <w:shd w:val="clear" w:color="auto" w:fill="auto"/>
            <w:noWrap/>
            <w:vAlign w:val="bottom"/>
          </w:tcPr>
          <w:p w:rsidR="00E357EB" w:rsidRDefault="006E3923" w:rsidP="00225F59">
            <w:pPr>
              <w:jc w:val="center"/>
              <w:rPr>
                <w:rFonts w:eastAsia="Times New Roman"/>
              </w:rPr>
            </w:pPr>
            <w:r>
              <w:rPr>
                <w:rFonts w:eastAsia="Times New Roman"/>
              </w:rPr>
              <w:t>0,2;5,6</w:t>
            </w:r>
            <w:r w:rsidR="004319F4">
              <w:rPr>
                <w:rFonts w:eastAsia="Times New Roman"/>
              </w:rPr>
              <w:t>*</w:t>
            </w:r>
          </w:p>
        </w:tc>
        <w:tc>
          <w:tcPr>
            <w:tcW w:w="882" w:type="pct"/>
            <w:shd w:val="clear" w:color="auto" w:fill="auto"/>
            <w:noWrap/>
            <w:vAlign w:val="bottom"/>
          </w:tcPr>
          <w:p w:rsidR="00E357EB" w:rsidRDefault="006E3923" w:rsidP="00225F59">
            <w:pPr>
              <w:jc w:val="center"/>
              <w:rPr>
                <w:rFonts w:eastAsia="Times New Roman"/>
              </w:rPr>
            </w:pPr>
            <w:r>
              <w:rPr>
                <w:rFonts w:eastAsia="Times New Roman"/>
              </w:rPr>
              <w:t>-0,2;5,5</w:t>
            </w:r>
          </w:p>
        </w:tc>
        <w:tc>
          <w:tcPr>
            <w:tcW w:w="663" w:type="pct"/>
            <w:shd w:val="clear" w:color="auto" w:fill="auto"/>
            <w:noWrap/>
            <w:vAlign w:val="bottom"/>
          </w:tcPr>
          <w:p w:rsidR="00E357EB" w:rsidRDefault="006E3923" w:rsidP="00225F59">
            <w:pPr>
              <w:jc w:val="center"/>
              <w:rPr>
                <w:rFonts w:eastAsia="Times New Roman"/>
              </w:rPr>
            </w:pPr>
            <w:r>
              <w:rPr>
                <w:rFonts w:eastAsia="Times New Roman"/>
              </w:rPr>
              <w:t>-6,2;-0,8*</w:t>
            </w:r>
          </w:p>
        </w:tc>
        <w:tc>
          <w:tcPr>
            <w:tcW w:w="766" w:type="pct"/>
            <w:shd w:val="clear" w:color="auto" w:fill="auto"/>
            <w:noWrap/>
            <w:vAlign w:val="bottom"/>
          </w:tcPr>
          <w:p w:rsidR="00E357EB" w:rsidRDefault="006E3923" w:rsidP="00225F59">
            <w:pPr>
              <w:jc w:val="center"/>
              <w:rPr>
                <w:rFonts w:eastAsia="Times New Roman"/>
              </w:rPr>
            </w:pPr>
            <w:r>
              <w:rPr>
                <w:rFonts w:eastAsia="Times New Roman"/>
              </w:rPr>
              <w:t>4,0;8,4*</w:t>
            </w:r>
          </w:p>
        </w:tc>
      </w:tr>
      <w:tr w:rsidR="006E3923"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6E3923" w:rsidP="00E61731">
            <w:pPr>
              <w:rPr>
                <w:rFonts w:eastAsia="Times New Roman"/>
              </w:rPr>
            </w:pPr>
            <w:r w:rsidRPr="006D0572">
              <w:rPr>
                <w:rFonts w:eastAsia="Times New Roman"/>
              </w:rPr>
              <w:t>HTLV1</w:t>
            </w:r>
          </w:p>
        </w:tc>
        <w:tc>
          <w:tcPr>
            <w:tcW w:w="744" w:type="pct"/>
            <w:shd w:val="clear" w:color="auto" w:fill="auto"/>
            <w:noWrap/>
            <w:vAlign w:val="bottom"/>
          </w:tcPr>
          <w:p w:rsidR="00E357EB" w:rsidRDefault="006E3923" w:rsidP="00225F59">
            <w:pPr>
              <w:jc w:val="center"/>
              <w:rPr>
                <w:rFonts w:eastAsia="Times New Roman"/>
              </w:rPr>
            </w:pPr>
            <w:r>
              <w:rPr>
                <w:rFonts w:eastAsia="Times New Roman"/>
              </w:rPr>
              <w:t>8,9;14,8</w:t>
            </w:r>
            <w:r w:rsidR="004319F4">
              <w:rPr>
                <w:rFonts w:eastAsia="Times New Roman"/>
              </w:rPr>
              <w:t>*</w:t>
            </w:r>
          </w:p>
        </w:tc>
        <w:tc>
          <w:tcPr>
            <w:tcW w:w="882" w:type="pct"/>
            <w:shd w:val="clear" w:color="auto" w:fill="auto"/>
            <w:noWrap/>
            <w:vAlign w:val="bottom"/>
          </w:tcPr>
          <w:p w:rsidR="00E357EB" w:rsidRDefault="006E3923" w:rsidP="00225F59">
            <w:pPr>
              <w:jc w:val="center"/>
              <w:rPr>
                <w:rFonts w:eastAsia="Times New Roman"/>
              </w:rPr>
            </w:pPr>
            <w:r>
              <w:rPr>
                <w:rFonts w:eastAsia="Times New Roman"/>
              </w:rPr>
              <w:t>1,1;7,3</w:t>
            </w:r>
            <w:r w:rsidR="004319F4">
              <w:rPr>
                <w:rFonts w:eastAsia="Times New Roman"/>
              </w:rPr>
              <w:t>*</w:t>
            </w:r>
          </w:p>
        </w:tc>
        <w:tc>
          <w:tcPr>
            <w:tcW w:w="663" w:type="pct"/>
            <w:shd w:val="clear" w:color="auto" w:fill="auto"/>
            <w:noWrap/>
            <w:vAlign w:val="bottom"/>
          </w:tcPr>
          <w:p w:rsidR="00E357EB" w:rsidRDefault="006E3923" w:rsidP="00225F59">
            <w:pPr>
              <w:jc w:val="center"/>
              <w:rPr>
                <w:rFonts w:eastAsia="Times New Roman"/>
              </w:rPr>
            </w:pPr>
            <w:r>
              <w:rPr>
                <w:rFonts w:eastAsia="Times New Roman"/>
              </w:rPr>
              <w:t>-6,1;1,1</w:t>
            </w:r>
          </w:p>
        </w:tc>
        <w:tc>
          <w:tcPr>
            <w:tcW w:w="766" w:type="pct"/>
            <w:shd w:val="clear" w:color="auto" w:fill="auto"/>
            <w:noWrap/>
            <w:vAlign w:val="bottom"/>
          </w:tcPr>
          <w:p w:rsidR="00E357EB" w:rsidRDefault="006E3923" w:rsidP="00225F59">
            <w:pPr>
              <w:jc w:val="center"/>
              <w:rPr>
                <w:rFonts w:eastAsia="Times New Roman"/>
              </w:rPr>
            </w:pPr>
            <w:r>
              <w:rPr>
                <w:rFonts w:eastAsia="Times New Roman"/>
              </w:rPr>
              <w:t>4,3;8,0*</w:t>
            </w:r>
          </w:p>
        </w:tc>
      </w:tr>
      <w:tr w:rsidR="006E3923" w:rsidRPr="006D0572" w:rsidTr="007D6378">
        <w:trPr>
          <w:trHeight w:val="300"/>
        </w:trPr>
        <w:tc>
          <w:tcPr>
            <w:tcW w:w="938" w:type="pct"/>
            <w:vMerge w:val="restart"/>
            <w:shd w:val="clear" w:color="auto" w:fill="auto"/>
            <w:noWrap/>
            <w:vAlign w:val="center"/>
          </w:tcPr>
          <w:p w:rsidR="006E3923" w:rsidRPr="006D0572" w:rsidRDefault="006E3923" w:rsidP="00E61731">
            <w:pPr>
              <w:rPr>
                <w:rFonts w:eastAsia="Times New Roman"/>
              </w:rPr>
            </w:pPr>
            <w:r>
              <w:rPr>
                <w:rFonts w:eastAsia="Times New Roman"/>
              </w:rPr>
              <w:t>Lepra</w:t>
            </w:r>
          </w:p>
        </w:tc>
        <w:tc>
          <w:tcPr>
            <w:tcW w:w="1007" w:type="pct"/>
            <w:shd w:val="clear" w:color="auto" w:fill="auto"/>
            <w:noWrap/>
            <w:vAlign w:val="bottom"/>
          </w:tcPr>
          <w:p w:rsidR="006E3923" w:rsidRPr="006D0572" w:rsidRDefault="006E3923" w:rsidP="00E61731">
            <w:pPr>
              <w:rPr>
                <w:rFonts w:eastAsia="Times New Roman"/>
              </w:rPr>
            </w:pPr>
            <w:r>
              <w:rPr>
                <w:rFonts w:eastAsia="Times New Roman"/>
              </w:rPr>
              <w:t>Hepatitis B y C</w:t>
            </w:r>
          </w:p>
        </w:tc>
        <w:tc>
          <w:tcPr>
            <w:tcW w:w="744" w:type="pct"/>
            <w:shd w:val="clear" w:color="auto" w:fill="auto"/>
            <w:noWrap/>
            <w:vAlign w:val="bottom"/>
          </w:tcPr>
          <w:p w:rsidR="006E3923" w:rsidRPr="006D0572" w:rsidRDefault="00387693" w:rsidP="00225F59">
            <w:pPr>
              <w:jc w:val="center"/>
              <w:rPr>
                <w:rFonts w:eastAsia="Times New Roman"/>
              </w:rPr>
            </w:pPr>
            <w:r>
              <w:rPr>
                <w:rFonts w:eastAsia="Times New Roman"/>
              </w:rPr>
              <w:t>-12,4;-9,6*</w:t>
            </w:r>
          </w:p>
        </w:tc>
        <w:tc>
          <w:tcPr>
            <w:tcW w:w="882" w:type="pct"/>
            <w:shd w:val="clear" w:color="auto" w:fill="auto"/>
            <w:noWrap/>
            <w:vAlign w:val="bottom"/>
          </w:tcPr>
          <w:p w:rsidR="006E3923" w:rsidRPr="00194E1F" w:rsidRDefault="00387693" w:rsidP="00225F59">
            <w:pPr>
              <w:jc w:val="center"/>
              <w:rPr>
                <w:rFonts w:eastAsia="Times New Roman"/>
              </w:rPr>
            </w:pPr>
            <w:r>
              <w:rPr>
                <w:rFonts w:eastAsia="Times New Roman"/>
              </w:rPr>
              <w:t>-4,4;-1,5*</w:t>
            </w:r>
          </w:p>
        </w:tc>
        <w:tc>
          <w:tcPr>
            <w:tcW w:w="663" w:type="pct"/>
            <w:shd w:val="clear" w:color="auto" w:fill="auto"/>
            <w:noWrap/>
            <w:vAlign w:val="bottom"/>
          </w:tcPr>
          <w:p w:rsidR="006E3923" w:rsidRPr="006D0572" w:rsidRDefault="00387693" w:rsidP="00225F59">
            <w:pPr>
              <w:jc w:val="center"/>
              <w:rPr>
                <w:rFonts w:eastAsia="Times New Roman"/>
              </w:rPr>
            </w:pPr>
            <w:r>
              <w:rPr>
                <w:rFonts w:eastAsia="Times New Roman"/>
              </w:rPr>
              <w:t>-3,8;-0,2</w:t>
            </w:r>
            <w:r w:rsidR="007C1448">
              <w:rPr>
                <w:rFonts w:eastAsia="Times New Roman"/>
              </w:rPr>
              <w:t>*</w:t>
            </w:r>
          </w:p>
        </w:tc>
        <w:tc>
          <w:tcPr>
            <w:tcW w:w="766" w:type="pct"/>
            <w:shd w:val="clear" w:color="auto" w:fill="auto"/>
            <w:noWrap/>
            <w:vAlign w:val="bottom"/>
          </w:tcPr>
          <w:p w:rsidR="006E3923" w:rsidRPr="006D0572" w:rsidRDefault="00387693" w:rsidP="00225F59">
            <w:pPr>
              <w:jc w:val="center"/>
              <w:rPr>
                <w:rFonts w:eastAsia="Times New Roman"/>
              </w:rPr>
            </w:pPr>
            <w:r>
              <w:rPr>
                <w:rFonts w:eastAsia="Times New Roman"/>
              </w:rPr>
              <w:t>-3,2;</w:t>
            </w:r>
            <w:r w:rsidR="00B92B23">
              <w:rPr>
                <w:rFonts w:eastAsia="Times New Roman"/>
              </w:rPr>
              <w:t>-0,8*</w:t>
            </w:r>
          </w:p>
        </w:tc>
      </w:tr>
      <w:tr w:rsidR="006E3923"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6E3923" w:rsidP="00E61731">
            <w:pPr>
              <w:rPr>
                <w:rFonts w:eastAsia="Times New Roman"/>
              </w:rPr>
            </w:pPr>
            <w:r>
              <w:rPr>
                <w:rFonts w:eastAsia="Times New Roman"/>
              </w:rPr>
              <w:t>Chagas</w:t>
            </w:r>
          </w:p>
        </w:tc>
        <w:tc>
          <w:tcPr>
            <w:tcW w:w="744" w:type="pct"/>
            <w:shd w:val="clear" w:color="auto" w:fill="auto"/>
            <w:noWrap/>
            <w:vAlign w:val="bottom"/>
          </w:tcPr>
          <w:p w:rsidR="00E357EB" w:rsidRDefault="00B92B23" w:rsidP="00225F59">
            <w:pPr>
              <w:jc w:val="center"/>
              <w:rPr>
                <w:rFonts w:eastAsia="Times New Roman"/>
              </w:rPr>
            </w:pPr>
            <w:r>
              <w:rPr>
                <w:rFonts w:eastAsia="Times New Roman"/>
              </w:rPr>
              <w:t>-15,0;-9,0*</w:t>
            </w:r>
          </w:p>
        </w:tc>
        <w:tc>
          <w:tcPr>
            <w:tcW w:w="882" w:type="pct"/>
            <w:shd w:val="clear" w:color="auto" w:fill="auto"/>
            <w:noWrap/>
            <w:vAlign w:val="bottom"/>
          </w:tcPr>
          <w:p w:rsidR="00E357EB" w:rsidRDefault="00B92B23" w:rsidP="00225F59">
            <w:pPr>
              <w:jc w:val="center"/>
              <w:rPr>
                <w:rFonts w:eastAsia="Times New Roman"/>
              </w:rPr>
            </w:pPr>
            <w:r>
              <w:rPr>
                <w:rFonts w:eastAsia="Times New Roman"/>
              </w:rPr>
              <w:t>-9,7;-4,3*</w:t>
            </w:r>
          </w:p>
        </w:tc>
        <w:tc>
          <w:tcPr>
            <w:tcW w:w="663" w:type="pct"/>
            <w:shd w:val="clear" w:color="auto" w:fill="auto"/>
            <w:noWrap/>
            <w:vAlign w:val="bottom"/>
          </w:tcPr>
          <w:p w:rsidR="00E357EB" w:rsidRDefault="00B92B23" w:rsidP="00225F59">
            <w:pPr>
              <w:jc w:val="center"/>
              <w:rPr>
                <w:rFonts w:eastAsia="Times New Roman"/>
              </w:rPr>
            </w:pPr>
            <w:r>
              <w:rPr>
                <w:rFonts w:eastAsia="Times New Roman"/>
              </w:rPr>
              <w:t>-4,0;2,0</w:t>
            </w:r>
          </w:p>
        </w:tc>
        <w:tc>
          <w:tcPr>
            <w:tcW w:w="766" w:type="pct"/>
            <w:shd w:val="clear" w:color="auto" w:fill="auto"/>
            <w:noWrap/>
            <w:vAlign w:val="bottom"/>
          </w:tcPr>
          <w:p w:rsidR="00E357EB" w:rsidRDefault="00B92B23" w:rsidP="00225F59">
            <w:pPr>
              <w:jc w:val="center"/>
              <w:rPr>
                <w:rFonts w:eastAsia="Times New Roman"/>
              </w:rPr>
            </w:pPr>
            <w:r>
              <w:rPr>
                <w:rFonts w:eastAsia="Times New Roman"/>
              </w:rPr>
              <w:t>-3,2;1,2</w:t>
            </w:r>
          </w:p>
        </w:tc>
      </w:tr>
      <w:tr w:rsidR="006E3923"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6E3923" w:rsidP="00E61731">
            <w:pPr>
              <w:rPr>
                <w:rFonts w:eastAsia="Times New Roman"/>
              </w:rPr>
            </w:pPr>
            <w:r w:rsidRPr="006D0572">
              <w:rPr>
                <w:rFonts w:eastAsia="Times New Roman"/>
              </w:rPr>
              <w:t>HTLV1</w:t>
            </w:r>
          </w:p>
        </w:tc>
        <w:tc>
          <w:tcPr>
            <w:tcW w:w="744" w:type="pct"/>
            <w:shd w:val="clear" w:color="auto" w:fill="auto"/>
            <w:noWrap/>
            <w:vAlign w:val="bottom"/>
          </w:tcPr>
          <w:p w:rsidR="00E357EB" w:rsidRDefault="00B92B23" w:rsidP="00225F59">
            <w:pPr>
              <w:jc w:val="center"/>
              <w:rPr>
                <w:rFonts w:eastAsia="Times New Roman"/>
              </w:rPr>
            </w:pPr>
            <w:r>
              <w:rPr>
                <w:rFonts w:eastAsia="Times New Roman"/>
              </w:rPr>
              <w:t>-5,7;-0,2</w:t>
            </w:r>
          </w:p>
        </w:tc>
        <w:tc>
          <w:tcPr>
            <w:tcW w:w="882" w:type="pct"/>
            <w:shd w:val="clear" w:color="auto" w:fill="auto"/>
            <w:noWrap/>
            <w:vAlign w:val="bottom"/>
          </w:tcPr>
          <w:p w:rsidR="00E357EB" w:rsidRDefault="00B92B23" w:rsidP="00225F59">
            <w:pPr>
              <w:jc w:val="center"/>
              <w:rPr>
                <w:rFonts w:eastAsia="Times New Roman"/>
              </w:rPr>
            </w:pPr>
            <w:r>
              <w:rPr>
                <w:rFonts w:eastAsia="Times New Roman"/>
              </w:rPr>
              <w:t>-8</w:t>
            </w:r>
            <w:r w:rsidR="00A451DF">
              <w:rPr>
                <w:rFonts w:eastAsia="Times New Roman"/>
              </w:rPr>
              <w:t>,3;-2,7*</w:t>
            </w:r>
          </w:p>
        </w:tc>
        <w:tc>
          <w:tcPr>
            <w:tcW w:w="663" w:type="pct"/>
            <w:shd w:val="clear" w:color="auto" w:fill="auto"/>
            <w:noWrap/>
            <w:vAlign w:val="bottom"/>
          </w:tcPr>
          <w:p w:rsidR="00E357EB" w:rsidRDefault="00A451DF" w:rsidP="00225F59">
            <w:pPr>
              <w:jc w:val="center"/>
              <w:rPr>
                <w:rFonts w:eastAsia="Times New Roman"/>
              </w:rPr>
            </w:pPr>
            <w:r>
              <w:rPr>
                <w:rFonts w:eastAsia="Times New Roman"/>
              </w:rPr>
              <w:t>-3,3;3,3</w:t>
            </w:r>
          </w:p>
        </w:tc>
        <w:tc>
          <w:tcPr>
            <w:tcW w:w="766" w:type="pct"/>
            <w:shd w:val="clear" w:color="auto" w:fill="auto"/>
            <w:noWrap/>
            <w:vAlign w:val="bottom"/>
          </w:tcPr>
          <w:p w:rsidR="00E357EB" w:rsidRDefault="00A451DF" w:rsidP="00225F59">
            <w:pPr>
              <w:jc w:val="center"/>
              <w:rPr>
                <w:rFonts w:eastAsia="Times New Roman"/>
              </w:rPr>
            </w:pPr>
            <w:r>
              <w:rPr>
                <w:rFonts w:eastAsia="Times New Roman"/>
              </w:rPr>
              <w:t>-2,9;0,9</w:t>
            </w:r>
          </w:p>
        </w:tc>
      </w:tr>
      <w:tr w:rsidR="00EA5A18" w:rsidRPr="006D0572" w:rsidTr="007D6378">
        <w:trPr>
          <w:trHeight w:val="300"/>
        </w:trPr>
        <w:tc>
          <w:tcPr>
            <w:tcW w:w="938" w:type="pct"/>
            <w:vMerge w:val="restart"/>
            <w:shd w:val="clear" w:color="auto" w:fill="auto"/>
            <w:noWrap/>
            <w:vAlign w:val="center"/>
          </w:tcPr>
          <w:p w:rsidR="00EA5A18" w:rsidRPr="004E2409" w:rsidRDefault="00EA5A18" w:rsidP="00E61731">
            <w:pPr>
              <w:rPr>
                <w:rFonts w:eastAsia="Times New Roman"/>
                <w:b/>
              </w:rPr>
            </w:pPr>
            <w:r>
              <w:rPr>
                <w:rFonts w:eastAsia="Times New Roman"/>
              </w:rPr>
              <w:t>Hepatitis B y C</w:t>
            </w:r>
          </w:p>
        </w:tc>
        <w:tc>
          <w:tcPr>
            <w:tcW w:w="1007" w:type="pct"/>
            <w:shd w:val="clear" w:color="auto" w:fill="auto"/>
            <w:noWrap/>
            <w:vAlign w:val="bottom"/>
          </w:tcPr>
          <w:p w:rsidR="00EA5A18" w:rsidRPr="006D0572" w:rsidRDefault="00EA5A18" w:rsidP="00E61731">
            <w:pPr>
              <w:rPr>
                <w:rFonts w:eastAsia="Times New Roman"/>
              </w:rPr>
            </w:pPr>
            <w:r>
              <w:rPr>
                <w:rFonts w:eastAsia="Times New Roman"/>
              </w:rPr>
              <w:t>Chagas</w:t>
            </w:r>
          </w:p>
        </w:tc>
        <w:tc>
          <w:tcPr>
            <w:tcW w:w="744" w:type="pct"/>
            <w:shd w:val="clear" w:color="auto" w:fill="auto"/>
            <w:noWrap/>
            <w:vAlign w:val="bottom"/>
          </w:tcPr>
          <w:p w:rsidR="00EA5A18" w:rsidRPr="000F5B8A" w:rsidRDefault="002060B3" w:rsidP="00225F59">
            <w:pPr>
              <w:jc w:val="center"/>
              <w:rPr>
                <w:rFonts w:eastAsia="Times New Roman"/>
              </w:rPr>
            </w:pPr>
            <w:r>
              <w:rPr>
                <w:rFonts w:eastAsia="Times New Roman"/>
              </w:rPr>
              <w:t>-3,3;2,3</w:t>
            </w:r>
          </w:p>
        </w:tc>
        <w:tc>
          <w:tcPr>
            <w:tcW w:w="882" w:type="pct"/>
            <w:shd w:val="clear" w:color="auto" w:fill="auto"/>
            <w:noWrap/>
            <w:vAlign w:val="bottom"/>
          </w:tcPr>
          <w:p w:rsidR="00EA5A18" w:rsidRPr="000F5B8A" w:rsidRDefault="00364DB5" w:rsidP="00225F59">
            <w:pPr>
              <w:jc w:val="center"/>
              <w:rPr>
                <w:rFonts w:eastAsia="Times New Roman"/>
              </w:rPr>
            </w:pPr>
            <w:r>
              <w:rPr>
                <w:rFonts w:eastAsia="Times New Roman"/>
              </w:rPr>
              <w:t>-6,3;-0,7</w:t>
            </w:r>
            <w:r w:rsidR="00C84E29">
              <w:rPr>
                <w:rFonts w:eastAsia="Times New Roman"/>
              </w:rPr>
              <w:t>*</w:t>
            </w:r>
          </w:p>
        </w:tc>
        <w:tc>
          <w:tcPr>
            <w:tcW w:w="663" w:type="pct"/>
            <w:shd w:val="clear" w:color="auto" w:fill="auto"/>
            <w:noWrap/>
            <w:vAlign w:val="bottom"/>
          </w:tcPr>
          <w:p w:rsidR="00EA5A18" w:rsidRPr="000F5B8A" w:rsidRDefault="002060B3" w:rsidP="00225F59">
            <w:pPr>
              <w:jc w:val="center"/>
              <w:rPr>
                <w:rFonts w:eastAsia="Times New Roman"/>
              </w:rPr>
            </w:pPr>
            <w:r>
              <w:rPr>
                <w:rFonts w:eastAsia="Times New Roman"/>
              </w:rPr>
              <w:t>-1,2;3,8</w:t>
            </w:r>
          </w:p>
        </w:tc>
        <w:tc>
          <w:tcPr>
            <w:tcW w:w="766" w:type="pct"/>
            <w:shd w:val="clear" w:color="auto" w:fill="auto"/>
            <w:noWrap/>
            <w:vAlign w:val="bottom"/>
          </w:tcPr>
          <w:p w:rsidR="00EA5A18" w:rsidRPr="000F5B8A" w:rsidRDefault="002060B3" w:rsidP="00225F59">
            <w:pPr>
              <w:jc w:val="center"/>
              <w:rPr>
                <w:rFonts w:eastAsia="Times New Roman"/>
              </w:rPr>
            </w:pPr>
            <w:r>
              <w:rPr>
                <w:rFonts w:eastAsia="Times New Roman"/>
              </w:rPr>
              <w:t>-1,5;2,7</w:t>
            </w:r>
          </w:p>
        </w:tc>
      </w:tr>
      <w:tr w:rsidR="00EA5A18" w:rsidRPr="006D0572" w:rsidTr="007D6378">
        <w:trPr>
          <w:trHeight w:val="300"/>
        </w:trPr>
        <w:tc>
          <w:tcPr>
            <w:tcW w:w="938" w:type="pct"/>
            <w:vMerge/>
            <w:shd w:val="clear" w:color="auto" w:fill="auto"/>
            <w:noWrap/>
            <w:vAlign w:val="center"/>
          </w:tcPr>
          <w:p w:rsidR="00E357EB" w:rsidRDefault="00E357EB" w:rsidP="00E61731">
            <w:pPr>
              <w:rPr>
                <w:rFonts w:eastAsia="Times New Roman"/>
              </w:rPr>
            </w:pPr>
          </w:p>
        </w:tc>
        <w:tc>
          <w:tcPr>
            <w:tcW w:w="1007" w:type="pct"/>
            <w:shd w:val="clear" w:color="auto" w:fill="auto"/>
            <w:noWrap/>
            <w:vAlign w:val="bottom"/>
          </w:tcPr>
          <w:p w:rsidR="00E357EB" w:rsidRDefault="00EA5A18" w:rsidP="00E61731">
            <w:pPr>
              <w:rPr>
                <w:rFonts w:eastAsia="Times New Roman"/>
              </w:rPr>
            </w:pPr>
            <w:r w:rsidRPr="006D0572">
              <w:rPr>
                <w:rFonts w:eastAsia="Times New Roman"/>
              </w:rPr>
              <w:t>HTLV1</w:t>
            </w:r>
          </w:p>
        </w:tc>
        <w:tc>
          <w:tcPr>
            <w:tcW w:w="744" w:type="pct"/>
            <w:shd w:val="clear" w:color="auto" w:fill="auto"/>
            <w:noWrap/>
            <w:vAlign w:val="bottom"/>
          </w:tcPr>
          <w:p w:rsidR="00E357EB" w:rsidRDefault="005E4887" w:rsidP="00225F59">
            <w:pPr>
              <w:jc w:val="center"/>
              <w:rPr>
                <w:rFonts w:eastAsia="Times New Roman"/>
              </w:rPr>
            </w:pPr>
            <w:r>
              <w:rPr>
                <w:rFonts w:eastAsia="Times New Roman"/>
              </w:rPr>
              <w:t>5,8;11,2</w:t>
            </w:r>
            <w:r w:rsidR="00364DB5">
              <w:rPr>
                <w:rFonts w:eastAsia="Times New Roman"/>
              </w:rPr>
              <w:t>*</w:t>
            </w:r>
          </w:p>
        </w:tc>
        <w:tc>
          <w:tcPr>
            <w:tcW w:w="882" w:type="pct"/>
            <w:shd w:val="clear" w:color="auto" w:fill="auto"/>
            <w:noWrap/>
            <w:vAlign w:val="bottom"/>
          </w:tcPr>
          <w:p w:rsidR="00E357EB" w:rsidRDefault="005E4887" w:rsidP="00225F59">
            <w:pPr>
              <w:jc w:val="center"/>
              <w:rPr>
                <w:rFonts w:eastAsia="Times New Roman"/>
              </w:rPr>
            </w:pPr>
            <w:r>
              <w:rPr>
                <w:rFonts w:eastAsia="Times New Roman"/>
              </w:rPr>
              <w:t>-4,9;0,9</w:t>
            </w:r>
          </w:p>
        </w:tc>
        <w:tc>
          <w:tcPr>
            <w:tcW w:w="663" w:type="pct"/>
            <w:shd w:val="clear" w:color="auto" w:fill="auto"/>
            <w:noWrap/>
            <w:vAlign w:val="bottom"/>
          </w:tcPr>
          <w:p w:rsidR="00E357EB" w:rsidRDefault="00364DB5" w:rsidP="00225F59">
            <w:pPr>
              <w:jc w:val="center"/>
              <w:rPr>
                <w:rFonts w:eastAsia="Times New Roman"/>
              </w:rPr>
            </w:pPr>
            <w:r>
              <w:rPr>
                <w:rFonts w:eastAsia="Times New Roman"/>
              </w:rPr>
              <w:t>-1,0;5,6</w:t>
            </w:r>
          </w:p>
        </w:tc>
        <w:tc>
          <w:tcPr>
            <w:tcW w:w="766" w:type="pct"/>
            <w:shd w:val="clear" w:color="auto" w:fill="auto"/>
            <w:noWrap/>
            <w:vAlign w:val="bottom"/>
          </w:tcPr>
          <w:p w:rsidR="00E357EB" w:rsidRDefault="00364DB5" w:rsidP="00225F59">
            <w:pPr>
              <w:jc w:val="center"/>
              <w:rPr>
                <w:rFonts w:eastAsia="Times New Roman"/>
              </w:rPr>
            </w:pPr>
            <w:r>
              <w:rPr>
                <w:rFonts w:eastAsia="Times New Roman"/>
              </w:rPr>
              <w:t>-1,2;2,4</w:t>
            </w:r>
          </w:p>
        </w:tc>
      </w:tr>
      <w:tr w:rsidR="00CD5722" w:rsidRPr="006D0572" w:rsidTr="007D6378">
        <w:trPr>
          <w:trHeight w:val="300"/>
        </w:trPr>
        <w:tc>
          <w:tcPr>
            <w:tcW w:w="938" w:type="pct"/>
            <w:shd w:val="clear" w:color="auto" w:fill="auto"/>
            <w:noWrap/>
            <w:vAlign w:val="center"/>
          </w:tcPr>
          <w:p w:rsidR="00CD5722" w:rsidRPr="006D0572" w:rsidRDefault="00CD5722" w:rsidP="00E61731">
            <w:pPr>
              <w:rPr>
                <w:rFonts w:eastAsia="Times New Roman"/>
              </w:rPr>
            </w:pPr>
            <w:r>
              <w:rPr>
                <w:rFonts w:eastAsia="Times New Roman"/>
              </w:rPr>
              <w:t>Chagas</w:t>
            </w:r>
          </w:p>
        </w:tc>
        <w:tc>
          <w:tcPr>
            <w:tcW w:w="1007" w:type="pct"/>
            <w:shd w:val="clear" w:color="auto" w:fill="auto"/>
            <w:noWrap/>
            <w:vAlign w:val="bottom"/>
          </w:tcPr>
          <w:p w:rsidR="00CD5722" w:rsidRPr="006D0572" w:rsidRDefault="00CD5722" w:rsidP="00E61731">
            <w:pPr>
              <w:rPr>
                <w:rFonts w:eastAsia="Times New Roman"/>
              </w:rPr>
            </w:pPr>
            <w:r w:rsidRPr="006D0572">
              <w:rPr>
                <w:rFonts w:eastAsia="Times New Roman"/>
              </w:rPr>
              <w:t>HTLV1</w:t>
            </w:r>
          </w:p>
        </w:tc>
        <w:tc>
          <w:tcPr>
            <w:tcW w:w="744" w:type="pct"/>
            <w:shd w:val="clear" w:color="auto" w:fill="auto"/>
            <w:noWrap/>
            <w:vAlign w:val="bottom"/>
          </w:tcPr>
          <w:p w:rsidR="00CD5722" w:rsidRPr="006D0572" w:rsidRDefault="00B34C19" w:rsidP="00225F59">
            <w:pPr>
              <w:jc w:val="center"/>
              <w:rPr>
                <w:rFonts w:eastAsia="Times New Roman"/>
              </w:rPr>
            </w:pPr>
            <w:r>
              <w:rPr>
                <w:rFonts w:eastAsia="Times New Roman"/>
              </w:rPr>
              <w:t>5,2;12,8</w:t>
            </w:r>
            <w:r w:rsidR="00364DB5">
              <w:rPr>
                <w:rFonts w:eastAsia="Times New Roman"/>
              </w:rPr>
              <w:t>*</w:t>
            </w:r>
          </w:p>
        </w:tc>
        <w:tc>
          <w:tcPr>
            <w:tcW w:w="882" w:type="pct"/>
            <w:shd w:val="clear" w:color="auto" w:fill="auto"/>
            <w:noWrap/>
            <w:vAlign w:val="bottom"/>
          </w:tcPr>
          <w:p w:rsidR="00CD5722" w:rsidRPr="00194E1F" w:rsidRDefault="00B34C19" w:rsidP="00225F59">
            <w:pPr>
              <w:jc w:val="center"/>
              <w:rPr>
                <w:rFonts w:eastAsia="Times New Roman"/>
              </w:rPr>
            </w:pPr>
            <w:r>
              <w:rPr>
                <w:rFonts w:eastAsia="Times New Roman"/>
              </w:rPr>
              <w:t>-2,3;5,3</w:t>
            </w:r>
          </w:p>
        </w:tc>
        <w:tc>
          <w:tcPr>
            <w:tcW w:w="663" w:type="pct"/>
            <w:shd w:val="clear" w:color="auto" w:fill="auto"/>
            <w:noWrap/>
            <w:vAlign w:val="bottom"/>
          </w:tcPr>
          <w:p w:rsidR="00CD5722" w:rsidRPr="006D0572" w:rsidRDefault="00B34C19" w:rsidP="00225F59">
            <w:pPr>
              <w:jc w:val="center"/>
              <w:rPr>
                <w:rFonts w:eastAsia="Times New Roman"/>
              </w:rPr>
            </w:pPr>
            <w:r>
              <w:rPr>
                <w:rFonts w:eastAsia="Times New Roman"/>
              </w:rPr>
              <w:t>-2,9;4,9</w:t>
            </w:r>
          </w:p>
        </w:tc>
        <w:tc>
          <w:tcPr>
            <w:tcW w:w="766" w:type="pct"/>
            <w:shd w:val="clear" w:color="auto" w:fill="auto"/>
            <w:noWrap/>
            <w:vAlign w:val="bottom"/>
          </w:tcPr>
          <w:p w:rsidR="00CD5722" w:rsidRPr="006D0572" w:rsidRDefault="00B34C19" w:rsidP="00225F59">
            <w:pPr>
              <w:jc w:val="center"/>
              <w:rPr>
                <w:rFonts w:eastAsia="Times New Roman"/>
              </w:rPr>
            </w:pPr>
            <w:r>
              <w:rPr>
                <w:rFonts w:eastAsia="Times New Roman"/>
              </w:rPr>
              <w:t>-2,5;2,5</w:t>
            </w:r>
          </w:p>
        </w:tc>
      </w:tr>
    </w:tbl>
    <w:p w:rsidR="004319F4" w:rsidRDefault="004319F4" w:rsidP="00E61731">
      <w:r w:rsidRPr="00B3510E">
        <w:rPr>
          <w:rFonts w:ascii="Lucida Sans Unicode" w:eastAsia="Times New Roman" w:hAnsi="Lucida Sans Unicode" w:cs="Lucida Sans Unicode"/>
          <w:b/>
          <w:color w:val="000000"/>
          <w:vertAlign w:val="superscript"/>
          <w:lang w:val="es-CO"/>
        </w:rPr>
        <w:t>ƚ</w:t>
      </w:r>
      <w:r>
        <w:t xml:space="preserve"> Intervalo de confianza para la diferencia de promedios.</w:t>
      </w:r>
    </w:p>
    <w:p w:rsidR="004319F4" w:rsidRDefault="004319F4" w:rsidP="00E61731">
      <w:r>
        <w:t>*</w:t>
      </w:r>
      <w:r w:rsidR="008C5A46">
        <w:t>Los promedios son estadísticamente diferentes y e</w:t>
      </w:r>
      <w:r>
        <w:t xml:space="preserve">l </w:t>
      </w:r>
      <w:r w:rsidR="008C5A46">
        <w:t xml:space="preserve">estadístico t </w:t>
      </w:r>
      <w:proofErr w:type="spellStart"/>
      <w:r w:rsidR="008C5A46">
        <w:t>student</w:t>
      </w:r>
      <w:proofErr w:type="spellEnd"/>
      <w:r w:rsidR="008C5A46">
        <w:t xml:space="preserve"> </w:t>
      </w:r>
      <w:r>
        <w:t>es significativo en el 0,01.</w:t>
      </w:r>
    </w:p>
    <w:p w:rsidR="00A1071D" w:rsidRDefault="00A1071D" w:rsidP="00E61731">
      <w:r>
        <w:br w:type="page"/>
      </w:r>
    </w:p>
    <w:p w:rsidR="006D0572" w:rsidRDefault="00003350" w:rsidP="00225F59">
      <w:pPr>
        <w:jc w:val="center"/>
      </w:pPr>
      <w:r>
        <w:rPr>
          <w:noProof/>
          <w:lang w:val="es-CO" w:eastAsia="es-CO"/>
        </w:rPr>
        <w:lastRenderedPageBreak/>
        <w:drawing>
          <wp:inline distT="0" distB="0" distL="0" distR="0">
            <wp:extent cx="5753100" cy="428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p>
    <w:p w:rsidR="006D0572" w:rsidRPr="00225F59" w:rsidRDefault="006D0572" w:rsidP="00225F59">
      <w:pPr>
        <w:jc w:val="center"/>
        <w:rPr>
          <w:b/>
        </w:rPr>
      </w:pPr>
      <w:r w:rsidRPr="00225F59">
        <w:rPr>
          <w:b/>
        </w:rPr>
        <w:t>Figura 1. Algoritmo de selección de artículos.</w:t>
      </w:r>
    </w:p>
    <w:p w:rsidR="00A1071D" w:rsidRDefault="00A1071D" w:rsidP="00225F59">
      <w:pPr>
        <w:jc w:val="center"/>
      </w:pPr>
    </w:p>
    <w:p w:rsidR="00A1071D" w:rsidRDefault="00A1071D" w:rsidP="00E61731">
      <w:r>
        <w:br w:type="page"/>
      </w:r>
    </w:p>
    <w:p w:rsidR="00A1071D" w:rsidRPr="0066080D" w:rsidRDefault="00A1071D" w:rsidP="00225F59">
      <w:pPr>
        <w:jc w:val="center"/>
      </w:pPr>
    </w:p>
    <w:p w:rsidR="00AE2E4A" w:rsidRDefault="00AE2E4A" w:rsidP="00225F59">
      <w:pPr>
        <w:jc w:val="center"/>
      </w:pPr>
      <w:r>
        <w:rPr>
          <w:noProof/>
          <w:lang w:val="es-CO" w:eastAsia="es-CO"/>
        </w:rPr>
        <w:drawing>
          <wp:inline distT="0" distB="0" distL="0" distR="0">
            <wp:extent cx="5755640" cy="376491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5640" cy="3764915"/>
                    </a:xfrm>
                    <a:prstGeom prst="rect">
                      <a:avLst/>
                    </a:prstGeom>
                    <a:noFill/>
                    <a:ln>
                      <a:noFill/>
                    </a:ln>
                  </pic:spPr>
                </pic:pic>
              </a:graphicData>
            </a:graphic>
          </wp:inline>
        </w:drawing>
      </w:r>
    </w:p>
    <w:p w:rsidR="003107F7" w:rsidRPr="00D602D3" w:rsidRDefault="00D602D3" w:rsidP="00225F59">
      <w:pPr>
        <w:jc w:val="center"/>
      </w:pPr>
      <w:r w:rsidRPr="00225F59">
        <w:rPr>
          <w:b/>
        </w:rPr>
        <w:t>Figura 2. Perfil de calidad de vida relacionada con la salud según el tipo de infección</w:t>
      </w:r>
      <w:r>
        <w:t>.</w:t>
      </w:r>
    </w:p>
    <w:sectPr w:rsidR="003107F7" w:rsidRPr="00D602D3" w:rsidSect="006D05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2E" w:rsidRDefault="006D592E">
      <w:pPr>
        <w:pPrChange w:id="2" w:author="Ibeth" w:date="2013-02-28T16:12:00Z">
          <w:pPr>
            <w:spacing w:line="240" w:lineRule="auto"/>
          </w:pPr>
        </w:pPrChange>
      </w:pPr>
      <w:r>
        <w:separator/>
      </w:r>
    </w:p>
  </w:endnote>
  <w:endnote w:type="continuationSeparator" w:id="0">
    <w:p w:rsidR="006D592E" w:rsidRDefault="006D592E">
      <w:pPr>
        <w:pPrChange w:id="3" w:author="Ibeth" w:date="2013-02-28T16:12: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2E" w:rsidRDefault="006D592E">
      <w:pPr>
        <w:pPrChange w:id="0" w:author="Ibeth" w:date="2013-02-28T16:12:00Z">
          <w:pPr>
            <w:spacing w:line="240" w:lineRule="auto"/>
          </w:pPr>
        </w:pPrChange>
      </w:pPr>
      <w:r>
        <w:separator/>
      </w:r>
    </w:p>
  </w:footnote>
  <w:footnote w:type="continuationSeparator" w:id="0">
    <w:p w:rsidR="006D592E" w:rsidRDefault="006D592E">
      <w:pPr>
        <w:pPrChange w:id="1" w:author="Ibeth" w:date="2013-02-28T16:12:00Z">
          <w:pPr>
            <w:spacing w:line="240" w:lineRule="auto"/>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EF8"/>
    <w:multiLevelType w:val="hybridMultilevel"/>
    <w:tmpl w:val="F8C2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7D68CA"/>
    <w:multiLevelType w:val="hybridMultilevel"/>
    <w:tmpl w:val="F552D9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B40F3"/>
    <w:multiLevelType w:val="hybridMultilevel"/>
    <w:tmpl w:val="D3FE625C"/>
    <w:lvl w:ilvl="0" w:tplc="177088B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C187953"/>
    <w:multiLevelType w:val="hybridMultilevel"/>
    <w:tmpl w:val="322E89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CD"/>
    <w:rsid w:val="00000E61"/>
    <w:rsid w:val="00003350"/>
    <w:rsid w:val="00004902"/>
    <w:rsid w:val="00004C38"/>
    <w:rsid w:val="000067EB"/>
    <w:rsid w:val="000079D3"/>
    <w:rsid w:val="00007BCD"/>
    <w:rsid w:val="00014E63"/>
    <w:rsid w:val="000156BE"/>
    <w:rsid w:val="0001726A"/>
    <w:rsid w:val="0002580B"/>
    <w:rsid w:val="000265F1"/>
    <w:rsid w:val="00031F8E"/>
    <w:rsid w:val="00040010"/>
    <w:rsid w:val="000404BA"/>
    <w:rsid w:val="00041400"/>
    <w:rsid w:val="00042E62"/>
    <w:rsid w:val="00051628"/>
    <w:rsid w:val="00054179"/>
    <w:rsid w:val="00055437"/>
    <w:rsid w:val="00062AED"/>
    <w:rsid w:val="00064041"/>
    <w:rsid w:val="00066586"/>
    <w:rsid w:val="0007256B"/>
    <w:rsid w:val="00083B5D"/>
    <w:rsid w:val="00083F23"/>
    <w:rsid w:val="00083FAA"/>
    <w:rsid w:val="00094841"/>
    <w:rsid w:val="00094847"/>
    <w:rsid w:val="00094C7E"/>
    <w:rsid w:val="000A1DAE"/>
    <w:rsid w:val="000A2BA9"/>
    <w:rsid w:val="000A73FD"/>
    <w:rsid w:val="000B3E1B"/>
    <w:rsid w:val="000C0324"/>
    <w:rsid w:val="000C19BF"/>
    <w:rsid w:val="000C1CEC"/>
    <w:rsid w:val="000C2202"/>
    <w:rsid w:val="000E53BE"/>
    <w:rsid w:val="000F05C1"/>
    <w:rsid w:val="000F5B8A"/>
    <w:rsid w:val="00101CA3"/>
    <w:rsid w:val="00102F29"/>
    <w:rsid w:val="001100CD"/>
    <w:rsid w:val="00111F99"/>
    <w:rsid w:val="001147A5"/>
    <w:rsid w:val="00115A76"/>
    <w:rsid w:val="00120E84"/>
    <w:rsid w:val="00140988"/>
    <w:rsid w:val="00147A1A"/>
    <w:rsid w:val="00147FC6"/>
    <w:rsid w:val="00153778"/>
    <w:rsid w:val="0015457C"/>
    <w:rsid w:val="00155F3D"/>
    <w:rsid w:val="00160E9C"/>
    <w:rsid w:val="00162A8C"/>
    <w:rsid w:val="00163DD4"/>
    <w:rsid w:val="00177684"/>
    <w:rsid w:val="00182E53"/>
    <w:rsid w:val="001853CE"/>
    <w:rsid w:val="00185F38"/>
    <w:rsid w:val="0018751D"/>
    <w:rsid w:val="00194E1F"/>
    <w:rsid w:val="001A248A"/>
    <w:rsid w:val="001A3842"/>
    <w:rsid w:val="001A4799"/>
    <w:rsid w:val="001B5235"/>
    <w:rsid w:val="001C0C45"/>
    <w:rsid w:val="001C52AE"/>
    <w:rsid w:val="001C5EA9"/>
    <w:rsid w:val="001C7AFD"/>
    <w:rsid w:val="001D4927"/>
    <w:rsid w:val="001E09A7"/>
    <w:rsid w:val="001E4CAF"/>
    <w:rsid w:val="002011A9"/>
    <w:rsid w:val="002021B9"/>
    <w:rsid w:val="0020480C"/>
    <w:rsid w:val="002060B3"/>
    <w:rsid w:val="00207373"/>
    <w:rsid w:val="00207D63"/>
    <w:rsid w:val="00225F59"/>
    <w:rsid w:val="00227116"/>
    <w:rsid w:val="00227BD9"/>
    <w:rsid w:val="00237CF8"/>
    <w:rsid w:val="002407BF"/>
    <w:rsid w:val="002475E9"/>
    <w:rsid w:val="002537F5"/>
    <w:rsid w:val="00253CFB"/>
    <w:rsid w:val="002549DA"/>
    <w:rsid w:val="00256A55"/>
    <w:rsid w:val="00285489"/>
    <w:rsid w:val="00290B95"/>
    <w:rsid w:val="0029212B"/>
    <w:rsid w:val="002A13D9"/>
    <w:rsid w:val="002A4C96"/>
    <w:rsid w:val="002B0047"/>
    <w:rsid w:val="002B00B5"/>
    <w:rsid w:val="002B0B77"/>
    <w:rsid w:val="002B1DA7"/>
    <w:rsid w:val="002C269A"/>
    <w:rsid w:val="002C37E2"/>
    <w:rsid w:val="002C642D"/>
    <w:rsid w:val="002C75D8"/>
    <w:rsid w:val="002D7BB7"/>
    <w:rsid w:val="002D7BC3"/>
    <w:rsid w:val="002E2806"/>
    <w:rsid w:val="002E3C60"/>
    <w:rsid w:val="002E5459"/>
    <w:rsid w:val="002F52E4"/>
    <w:rsid w:val="00306C98"/>
    <w:rsid w:val="003107F7"/>
    <w:rsid w:val="00310E5D"/>
    <w:rsid w:val="00314D2A"/>
    <w:rsid w:val="00317AE7"/>
    <w:rsid w:val="0032342F"/>
    <w:rsid w:val="00336384"/>
    <w:rsid w:val="00336AAF"/>
    <w:rsid w:val="003407F1"/>
    <w:rsid w:val="0034294A"/>
    <w:rsid w:val="00345049"/>
    <w:rsid w:val="00346F30"/>
    <w:rsid w:val="00347A9D"/>
    <w:rsid w:val="00351C9B"/>
    <w:rsid w:val="00355B21"/>
    <w:rsid w:val="00357454"/>
    <w:rsid w:val="0036267F"/>
    <w:rsid w:val="00364DB5"/>
    <w:rsid w:val="00366488"/>
    <w:rsid w:val="0037084F"/>
    <w:rsid w:val="00372239"/>
    <w:rsid w:val="003754F7"/>
    <w:rsid w:val="00376516"/>
    <w:rsid w:val="00382BF1"/>
    <w:rsid w:val="00384491"/>
    <w:rsid w:val="00385357"/>
    <w:rsid w:val="0038570D"/>
    <w:rsid w:val="00387693"/>
    <w:rsid w:val="0039784F"/>
    <w:rsid w:val="003A0969"/>
    <w:rsid w:val="003A677D"/>
    <w:rsid w:val="003B26FF"/>
    <w:rsid w:val="003C0251"/>
    <w:rsid w:val="003C1A7D"/>
    <w:rsid w:val="003C5F5B"/>
    <w:rsid w:val="003D2434"/>
    <w:rsid w:val="003D6672"/>
    <w:rsid w:val="003D7CDB"/>
    <w:rsid w:val="003D7F1E"/>
    <w:rsid w:val="003E78EA"/>
    <w:rsid w:val="00403F58"/>
    <w:rsid w:val="00405F75"/>
    <w:rsid w:val="00406817"/>
    <w:rsid w:val="00406E9A"/>
    <w:rsid w:val="00415545"/>
    <w:rsid w:val="00417515"/>
    <w:rsid w:val="0042690A"/>
    <w:rsid w:val="004270FA"/>
    <w:rsid w:val="00427E23"/>
    <w:rsid w:val="004319F4"/>
    <w:rsid w:val="00437475"/>
    <w:rsid w:val="004453DA"/>
    <w:rsid w:val="00446308"/>
    <w:rsid w:val="004513E8"/>
    <w:rsid w:val="00456BA3"/>
    <w:rsid w:val="0046683F"/>
    <w:rsid w:val="004718D5"/>
    <w:rsid w:val="00472C54"/>
    <w:rsid w:val="00480D2C"/>
    <w:rsid w:val="00481BF9"/>
    <w:rsid w:val="00490F1F"/>
    <w:rsid w:val="00493569"/>
    <w:rsid w:val="00494E7F"/>
    <w:rsid w:val="00495902"/>
    <w:rsid w:val="004A2093"/>
    <w:rsid w:val="004B6489"/>
    <w:rsid w:val="004C0632"/>
    <w:rsid w:val="004C0CF3"/>
    <w:rsid w:val="004C1328"/>
    <w:rsid w:val="004C4593"/>
    <w:rsid w:val="004D1170"/>
    <w:rsid w:val="004D48A1"/>
    <w:rsid w:val="004E2409"/>
    <w:rsid w:val="004E504E"/>
    <w:rsid w:val="004F5E5A"/>
    <w:rsid w:val="005070A1"/>
    <w:rsid w:val="00511BB4"/>
    <w:rsid w:val="005168DA"/>
    <w:rsid w:val="00521990"/>
    <w:rsid w:val="00527653"/>
    <w:rsid w:val="005279E3"/>
    <w:rsid w:val="0053756E"/>
    <w:rsid w:val="00550EE7"/>
    <w:rsid w:val="00557406"/>
    <w:rsid w:val="00560D2B"/>
    <w:rsid w:val="0056135B"/>
    <w:rsid w:val="0056165B"/>
    <w:rsid w:val="00561CEE"/>
    <w:rsid w:val="00565017"/>
    <w:rsid w:val="00565745"/>
    <w:rsid w:val="0056688D"/>
    <w:rsid w:val="00574E2F"/>
    <w:rsid w:val="00580835"/>
    <w:rsid w:val="005835F4"/>
    <w:rsid w:val="0058587E"/>
    <w:rsid w:val="005966C5"/>
    <w:rsid w:val="00596C46"/>
    <w:rsid w:val="00597A06"/>
    <w:rsid w:val="005A3359"/>
    <w:rsid w:val="005A5BCF"/>
    <w:rsid w:val="005B1385"/>
    <w:rsid w:val="005B4F6A"/>
    <w:rsid w:val="005C1DBF"/>
    <w:rsid w:val="005C4BC1"/>
    <w:rsid w:val="005D1E32"/>
    <w:rsid w:val="005D71CE"/>
    <w:rsid w:val="005E4887"/>
    <w:rsid w:val="005E4DCA"/>
    <w:rsid w:val="0060090D"/>
    <w:rsid w:val="00614153"/>
    <w:rsid w:val="006164FF"/>
    <w:rsid w:val="0061793C"/>
    <w:rsid w:val="0062715F"/>
    <w:rsid w:val="0062736C"/>
    <w:rsid w:val="00631EFE"/>
    <w:rsid w:val="006353C0"/>
    <w:rsid w:val="0063709F"/>
    <w:rsid w:val="0063743D"/>
    <w:rsid w:val="00641F9C"/>
    <w:rsid w:val="00645767"/>
    <w:rsid w:val="00645CBA"/>
    <w:rsid w:val="0064602B"/>
    <w:rsid w:val="00652651"/>
    <w:rsid w:val="00657E74"/>
    <w:rsid w:val="006634B0"/>
    <w:rsid w:val="00663B45"/>
    <w:rsid w:val="00672D91"/>
    <w:rsid w:val="00674164"/>
    <w:rsid w:val="006826B2"/>
    <w:rsid w:val="00685454"/>
    <w:rsid w:val="0069500C"/>
    <w:rsid w:val="00695ABF"/>
    <w:rsid w:val="006A15B7"/>
    <w:rsid w:val="006A40A8"/>
    <w:rsid w:val="006A48D0"/>
    <w:rsid w:val="006A531F"/>
    <w:rsid w:val="006B1D0E"/>
    <w:rsid w:val="006C157A"/>
    <w:rsid w:val="006C3099"/>
    <w:rsid w:val="006D02CA"/>
    <w:rsid w:val="006D0572"/>
    <w:rsid w:val="006D592E"/>
    <w:rsid w:val="006D700C"/>
    <w:rsid w:val="006E2894"/>
    <w:rsid w:val="006E3923"/>
    <w:rsid w:val="006E5E94"/>
    <w:rsid w:val="006F00B0"/>
    <w:rsid w:val="006F2446"/>
    <w:rsid w:val="006F24FB"/>
    <w:rsid w:val="006F3A5C"/>
    <w:rsid w:val="006F4BEC"/>
    <w:rsid w:val="00706482"/>
    <w:rsid w:val="00714BC0"/>
    <w:rsid w:val="00717CF8"/>
    <w:rsid w:val="00724B02"/>
    <w:rsid w:val="00725527"/>
    <w:rsid w:val="00732448"/>
    <w:rsid w:val="007338F1"/>
    <w:rsid w:val="00733F00"/>
    <w:rsid w:val="00737704"/>
    <w:rsid w:val="007532D1"/>
    <w:rsid w:val="00754588"/>
    <w:rsid w:val="007562CB"/>
    <w:rsid w:val="00767A4E"/>
    <w:rsid w:val="00767CCB"/>
    <w:rsid w:val="00782F3C"/>
    <w:rsid w:val="0079191C"/>
    <w:rsid w:val="007A0C7F"/>
    <w:rsid w:val="007A7991"/>
    <w:rsid w:val="007B6105"/>
    <w:rsid w:val="007B761B"/>
    <w:rsid w:val="007C1448"/>
    <w:rsid w:val="007C7C84"/>
    <w:rsid w:val="007D005F"/>
    <w:rsid w:val="007D011B"/>
    <w:rsid w:val="007D2CE4"/>
    <w:rsid w:val="007D6378"/>
    <w:rsid w:val="007E0AA3"/>
    <w:rsid w:val="007F0C51"/>
    <w:rsid w:val="007F385D"/>
    <w:rsid w:val="007F3922"/>
    <w:rsid w:val="007F6894"/>
    <w:rsid w:val="00810D5B"/>
    <w:rsid w:val="00815A35"/>
    <w:rsid w:val="008206EC"/>
    <w:rsid w:val="008207FC"/>
    <w:rsid w:val="00826E97"/>
    <w:rsid w:val="0083483F"/>
    <w:rsid w:val="008371CE"/>
    <w:rsid w:val="0084032C"/>
    <w:rsid w:val="008437A8"/>
    <w:rsid w:val="008564BA"/>
    <w:rsid w:val="0086132F"/>
    <w:rsid w:val="00873B34"/>
    <w:rsid w:val="0087485A"/>
    <w:rsid w:val="00883D2A"/>
    <w:rsid w:val="00885743"/>
    <w:rsid w:val="00892E35"/>
    <w:rsid w:val="008952A0"/>
    <w:rsid w:val="008A1D2C"/>
    <w:rsid w:val="008A6F48"/>
    <w:rsid w:val="008A7B38"/>
    <w:rsid w:val="008B0326"/>
    <w:rsid w:val="008B0F1F"/>
    <w:rsid w:val="008C125D"/>
    <w:rsid w:val="008C36BF"/>
    <w:rsid w:val="008C5A46"/>
    <w:rsid w:val="008D41D9"/>
    <w:rsid w:val="008D595C"/>
    <w:rsid w:val="008E144A"/>
    <w:rsid w:val="008E4466"/>
    <w:rsid w:val="008E660D"/>
    <w:rsid w:val="008E72EC"/>
    <w:rsid w:val="008F0559"/>
    <w:rsid w:val="008F79F2"/>
    <w:rsid w:val="00900357"/>
    <w:rsid w:val="0090270A"/>
    <w:rsid w:val="009239A9"/>
    <w:rsid w:val="0093283B"/>
    <w:rsid w:val="00934C77"/>
    <w:rsid w:val="00937C79"/>
    <w:rsid w:val="00940CC4"/>
    <w:rsid w:val="009429A9"/>
    <w:rsid w:val="00957740"/>
    <w:rsid w:val="0096016E"/>
    <w:rsid w:val="00960BF9"/>
    <w:rsid w:val="0097378E"/>
    <w:rsid w:val="00973DA2"/>
    <w:rsid w:val="00983C03"/>
    <w:rsid w:val="00985F78"/>
    <w:rsid w:val="00996C96"/>
    <w:rsid w:val="00996CB5"/>
    <w:rsid w:val="009B59D9"/>
    <w:rsid w:val="009C139D"/>
    <w:rsid w:val="009C1581"/>
    <w:rsid w:val="009C3726"/>
    <w:rsid w:val="009C4AAB"/>
    <w:rsid w:val="009C7616"/>
    <w:rsid w:val="009D5725"/>
    <w:rsid w:val="009E2721"/>
    <w:rsid w:val="009E4231"/>
    <w:rsid w:val="009E477B"/>
    <w:rsid w:val="009F1FE3"/>
    <w:rsid w:val="009F4C1B"/>
    <w:rsid w:val="00A06E01"/>
    <w:rsid w:val="00A1071D"/>
    <w:rsid w:val="00A157A8"/>
    <w:rsid w:val="00A238C8"/>
    <w:rsid w:val="00A2588F"/>
    <w:rsid w:val="00A27EFF"/>
    <w:rsid w:val="00A30B60"/>
    <w:rsid w:val="00A33D58"/>
    <w:rsid w:val="00A354D3"/>
    <w:rsid w:val="00A451DF"/>
    <w:rsid w:val="00A66EFB"/>
    <w:rsid w:val="00A75FE7"/>
    <w:rsid w:val="00A80EE3"/>
    <w:rsid w:val="00A86B80"/>
    <w:rsid w:val="00A97BD9"/>
    <w:rsid w:val="00AA22A6"/>
    <w:rsid w:val="00AA26DA"/>
    <w:rsid w:val="00AA55CD"/>
    <w:rsid w:val="00AA6121"/>
    <w:rsid w:val="00AB2D96"/>
    <w:rsid w:val="00AB33EC"/>
    <w:rsid w:val="00AC13F0"/>
    <w:rsid w:val="00AC19B6"/>
    <w:rsid w:val="00AC4185"/>
    <w:rsid w:val="00AD02C8"/>
    <w:rsid w:val="00AD0C6A"/>
    <w:rsid w:val="00AD1D51"/>
    <w:rsid w:val="00AD2388"/>
    <w:rsid w:val="00AD4B90"/>
    <w:rsid w:val="00AE2B5B"/>
    <w:rsid w:val="00AE2E4A"/>
    <w:rsid w:val="00AE38B5"/>
    <w:rsid w:val="00AF4728"/>
    <w:rsid w:val="00AF4D82"/>
    <w:rsid w:val="00AF76DF"/>
    <w:rsid w:val="00B04E1C"/>
    <w:rsid w:val="00B04F95"/>
    <w:rsid w:val="00B05061"/>
    <w:rsid w:val="00B05CF1"/>
    <w:rsid w:val="00B05EA6"/>
    <w:rsid w:val="00B207BF"/>
    <w:rsid w:val="00B20A9F"/>
    <w:rsid w:val="00B2599D"/>
    <w:rsid w:val="00B2638B"/>
    <w:rsid w:val="00B32153"/>
    <w:rsid w:val="00B3452F"/>
    <w:rsid w:val="00B34C19"/>
    <w:rsid w:val="00B3510E"/>
    <w:rsid w:val="00B3606B"/>
    <w:rsid w:val="00B45916"/>
    <w:rsid w:val="00B467F7"/>
    <w:rsid w:val="00B469A4"/>
    <w:rsid w:val="00B4741B"/>
    <w:rsid w:val="00B54474"/>
    <w:rsid w:val="00B566CA"/>
    <w:rsid w:val="00B618C8"/>
    <w:rsid w:val="00B71A6D"/>
    <w:rsid w:val="00B723CD"/>
    <w:rsid w:val="00B7718F"/>
    <w:rsid w:val="00B80379"/>
    <w:rsid w:val="00B83F1E"/>
    <w:rsid w:val="00B90E76"/>
    <w:rsid w:val="00B92B23"/>
    <w:rsid w:val="00B94BDD"/>
    <w:rsid w:val="00B94D2E"/>
    <w:rsid w:val="00B950C3"/>
    <w:rsid w:val="00BA2437"/>
    <w:rsid w:val="00BB05E9"/>
    <w:rsid w:val="00BB1A08"/>
    <w:rsid w:val="00BB3D1A"/>
    <w:rsid w:val="00BB3E45"/>
    <w:rsid w:val="00BB4402"/>
    <w:rsid w:val="00BC0119"/>
    <w:rsid w:val="00BD20C8"/>
    <w:rsid w:val="00BE6FA9"/>
    <w:rsid w:val="00BF6919"/>
    <w:rsid w:val="00BF6AB4"/>
    <w:rsid w:val="00BF76F0"/>
    <w:rsid w:val="00BF7D6E"/>
    <w:rsid w:val="00C0140F"/>
    <w:rsid w:val="00C034BA"/>
    <w:rsid w:val="00C05BC6"/>
    <w:rsid w:val="00C157C3"/>
    <w:rsid w:val="00C22008"/>
    <w:rsid w:val="00C3502F"/>
    <w:rsid w:val="00C4226E"/>
    <w:rsid w:val="00C509B7"/>
    <w:rsid w:val="00C5508B"/>
    <w:rsid w:val="00C57B9D"/>
    <w:rsid w:val="00C62D4C"/>
    <w:rsid w:val="00C720E2"/>
    <w:rsid w:val="00C81AF8"/>
    <w:rsid w:val="00C84E29"/>
    <w:rsid w:val="00C95B09"/>
    <w:rsid w:val="00CA43E4"/>
    <w:rsid w:val="00CA726C"/>
    <w:rsid w:val="00CA7B94"/>
    <w:rsid w:val="00CB73F4"/>
    <w:rsid w:val="00CC3672"/>
    <w:rsid w:val="00CC79FD"/>
    <w:rsid w:val="00CD5722"/>
    <w:rsid w:val="00CD5BD2"/>
    <w:rsid w:val="00CD5E29"/>
    <w:rsid w:val="00CE441E"/>
    <w:rsid w:val="00CE7247"/>
    <w:rsid w:val="00CE73EF"/>
    <w:rsid w:val="00D06DFC"/>
    <w:rsid w:val="00D115F2"/>
    <w:rsid w:val="00D21E79"/>
    <w:rsid w:val="00D27BAE"/>
    <w:rsid w:val="00D27C57"/>
    <w:rsid w:val="00D31E75"/>
    <w:rsid w:val="00D351EA"/>
    <w:rsid w:val="00D44D57"/>
    <w:rsid w:val="00D467DA"/>
    <w:rsid w:val="00D512B8"/>
    <w:rsid w:val="00D517F3"/>
    <w:rsid w:val="00D602D3"/>
    <w:rsid w:val="00D63A67"/>
    <w:rsid w:val="00D64B32"/>
    <w:rsid w:val="00D713D2"/>
    <w:rsid w:val="00D74B0A"/>
    <w:rsid w:val="00D80C23"/>
    <w:rsid w:val="00D96517"/>
    <w:rsid w:val="00DA079E"/>
    <w:rsid w:val="00DA0FBA"/>
    <w:rsid w:val="00DA11CF"/>
    <w:rsid w:val="00DA3DDE"/>
    <w:rsid w:val="00DA579C"/>
    <w:rsid w:val="00DA7178"/>
    <w:rsid w:val="00DB3820"/>
    <w:rsid w:val="00DC1077"/>
    <w:rsid w:val="00DC18C9"/>
    <w:rsid w:val="00DC2420"/>
    <w:rsid w:val="00DC5F78"/>
    <w:rsid w:val="00DC76DC"/>
    <w:rsid w:val="00DD17AF"/>
    <w:rsid w:val="00DD19A7"/>
    <w:rsid w:val="00DD616A"/>
    <w:rsid w:val="00DD775E"/>
    <w:rsid w:val="00DE30AF"/>
    <w:rsid w:val="00DE6CEF"/>
    <w:rsid w:val="00DF7692"/>
    <w:rsid w:val="00E01F7B"/>
    <w:rsid w:val="00E043CF"/>
    <w:rsid w:val="00E04ADD"/>
    <w:rsid w:val="00E0733C"/>
    <w:rsid w:val="00E174E6"/>
    <w:rsid w:val="00E22478"/>
    <w:rsid w:val="00E35117"/>
    <w:rsid w:val="00E357EB"/>
    <w:rsid w:val="00E402A6"/>
    <w:rsid w:val="00E43BD1"/>
    <w:rsid w:val="00E561C5"/>
    <w:rsid w:val="00E60158"/>
    <w:rsid w:val="00E61731"/>
    <w:rsid w:val="00E62D32"/>
    <w:rsid w:val="00E6451E"/>
    <w:rsid w:val="00E6452D"/>
    <w:rsid w:val="00E676CF"/>
    <w:rsid w:val="00E72410"/>
    <w:rsid w:val="00E73419"/>
    <w:rsid w:val="00E74C5F"/>
    <w:rsid w:val="00E753E8"/>
    <w:rsid w:val="00E83842"/>
    <w:rsid w:val="00E854F8"/>
    <w:rsid w:val="00E97351"/>
    <w:rsid w:val="00E97554"/>
    <w:rsid w:val="00EA0C9C"/>
    <w:rsid w:val="00EA4F5F"/>
    <w:rsid w:val="00EA5A18"/>
    <w:rsid w:val="00EA6686"/>
    <w:rsid w:val="00EB0F97"/>
    <w:rsid w:val="00EB1356"/>
    <w:rsid w:val="00EC600B"/>
    <w:rsid w:val="00ED16EE"/>
    <w:rsid w:val="00ED2C3F"/>
    <w:rsid w:val="00ED4BA4"/>
    <w:rsid w:val="00EE150D"/>
    <w:rsid w:val="00EE42BF"/>
    <w:rsid w:val="00EF0654"/>
    <w:rsid w:val="00EF1383"/>
    <w:rsid w:val="00EF3494"/>
    <w:rsid w:val="00F01080"/>
    <w:rsid w:val="00F03D76"/>
    <w:rsid w:val="00F06173"/>
    <w:rsid w:val="00F15D9D"/>
    <w:rsid w:val="00F361C1"/>
    <w:rsid w:val="00F45411"/>
    <w:rsid w:val="00F5473C"/>
    <w:rsid w:val="00F55000"/>
    <w:rsid w:val="00F7147F"/>
    <w:rsid w:val="00F7560C"/>
    <w:rsid w:val="00F81445"/>
    <w:rsid w:val="00F82198"/>
    <w:rsid w:val="00F853A9"/>
    <w:rsid w:val="00F86644"/>
    <w:rsid w:val="00F92154"/>
    <w:rsid w:val="00FA115D"/>
    <w:rsid w:val="00FA1459"/>
    <w:rsid w:val="00FA2957"/>
    <w:rsid w:val="00FA4496"/>
    <w:rsid w:val="00FA54E6"/>
    <w:rsid w:val="00FB5BBD"/>
    <w:rsid w:val="00FB6142"/>
    <w:rsid w:val="00FE307A"/>
    <w:rsid w:val="00FE331A"/>
    <w:rsid w:val="00FE53C8"/>
    <w:rsid w:val="00FE7788"/>
    <w:rsid w:val="00FE7826"/>
    <w:rsid w:val="00FF2320"/>
    <w:rsid w:val="00FF4C87"/>
    <w:rsid w:val="00FF65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31"/>
    <w:pPr>
      <w:autoSpaceDE w:val="0"/>
      <w:autoSpaceDN w:val="0"/>
      <w:adjustRightInd w:val="0"/>
      <w:spacing w:after="0" w:line="480" w:lineRule="auto"/>
      <w:jc w:val="both"/>
    </w:pPr>
    <w:rPr>
      <w:rFonts w:ascii="Arial" w:hAnsi="Arial" w:cs="Arial"/>
      <w:sz w:val="24"/>
      <w:szCs w:val="24"/>
    </w:rPr>
  </w:style>
  <w:style w:type="paragraph" w:styleId="Ttulo1">
    <w:name w:val="heading 1"/>
    <w:basedOn w:val="Normal"/>
    <w:link w:val="Ttulo1Car"/>
    <w:uiPriority w:val="9"/>
    <w:qFormat/>
    <w:rsid w:val="00A27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0CD"/>
    <w:pPr>
      <w:ind w:left="720"/>
      <w:contextualSpacing/>
    </w:pPr>
  </w:style>
  <w:style w:type="character" w:styleId="Textodelmarcadordeposicin">
    <w:name w:val="Placeholder Text"/>
    <w:basedOn w:val="Fuentedeprrafopredeter"/>
    <w:uiPriority w:val="99"/>
    <w:semiHidden/>
    <w:rsid w:val="00062AED"/>
    <w:rPr>
      <w:color w:val="808080"/>
    </w:rPr>
  </w:style>
  <w:style w:type="paragraph" w:styleId="Textodeglobo">
    <w:name w:val="Balloon Text"/>
    <w:basedOn w:val="Normal"/>
    <w:link w:val="TextodegloboCar"/>
    <w:uiPriority w:val="99"/>
    <w:semiHidden/>
    <w:unhideWhenUsed/>
    <w:rsid w:val="00062A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AED"/>
    <w:rPr>
      <w:rFonts w:ascii="Tahoma" w:hAnsi="Tahoma" w:cs="Tahoma"/>
      <w:sz w:val="16"/>
      <w:szCs w:val="16"/>
    </w:rPr>
  </w:style>
  <w:style w:type="paragraph" w:styleId="NormalWeb">
    <w:name w:val="Normal (Web)"/>
    <w:basedOn w:val="Normal"/>
    <w:uiPriority w:val="99"/>
    <w:unhideWhenUsed/>
    <w:rsid w:val="006D0572"/>
    <w:pPr>
      <w:spacing w:before="100" w:beforeAutospacing="1" w:after="100" w:afterAutospacing="1" w:line="240" w:lineRule="auto"/>
    </w:pPr>
    <w:rPr>
      <w:rFonts w:ascii="Times New Roman" w:eastAsia="Times New Roman" w:hAnsi="Times New Roman" w:cs="Times New Roman"/>
    </w:rPr>
  </w:style>
  <w:style w:type="paragraph" w:styleId="Textoindependiente">
    <w:name w:val="Body Text"/>
    <w:basedOn w:val="Normal"/>
    <w:link w:val="TextoindependienteCar"/>
    <w:uiPriority w:val="99"/>
    <w:unhideWhenUsed/>
    <w:rsid w:val="006D0572"/>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6D0572"/>
    <w:rPr>
      <w:rFonts w:eastAsiaTheme="minorHAnsi"/>
      <w:lang w:eastAsia="en-US"/>
    </w:rPr>
  </w:style>
  <w:style w:type="table" w:styleId="Tablaconcuadrcula">
    <w:name w:val="Table Grid"/>
    <w:basedOn w:val="Tablanormal"/>
    <w:uiPriority w:val="59"/>
    <w:rsid w:val="00E7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B1D0E"/>
    <w:rPr>
      <w:color w:val="0000FF" w:themeColor="hyperlink"/>
      <w:u w:val="single"/>
    </w:rPr>
  </w:style>
  <w:style w:type="character" w:styleId="Hipervnculovisitado">
    <w:name w:val="FollowedHyperlink"/>
    <w:basedOn w:val="Fuentedeprrafopredeter"/>
    <w:uiPriority w:val="99"/>
    <w:semiHidden/>
    <w:unhideWhenUsed/>
    <w:rsid w:val="001B5235"/>
    <w:rPr>
      <w:color w:val="800080" w:themeColor="followedHyperlink"/>
      <w:u w:val="single"/>
    </w:rPr>
  </w:style>
  <w:style w:type="character" w:styleId="Refdecomentario">
    <w:name w:val="annotation reference"/>
    <w:basedOn w:val="Fuentedeprrafopredeter"/>
    <w:uiPriority w:val="99"/>
    <w:semiHidden/>
    <w:unhideWhenUsed/>
    <w:rsid w:val="00345049"/>
    <w:rPr>
      <w:sz w:val="16"/>
      <w:szCs w:val="16"/>
    </w:rPr>
  </w:style>
  <w:style w:type="paragraph" w:styleId="Textocomentario">
    <w:name w:val="annotation text"/>
    <w:basedOn w:val="Normal"/>
    <w:link w:val="TextocomentarioCar"/>
    <w:uiPriority w:val="99"/>
    <w:unhideWhenUsed/>
    <w:rsid w:val="00345049"/>
    <w:pPr>
      <w:spacing w:line="240" w:lineRule="auto"/>
    </w:pPr>
    <w:rPr>
      <w:sz w:val="20"/>
      <w:szCs w:val="20"/>
    </w:rPr>
  </w:style>
  <w:style w:type="character" w:customStyle="1" w:styleId="TextocomentarioCar">
    <w:name w:val="Texto comentario Car"/>
    <w:basedOn w:val="Fuentedeprrafopredeter"/>
    <w:link w:val="Textocomentario"/>
    <w:uiPriority w:val="99"/>
    <w:rsid w:val="00345049"/>
    <w:rPr>
      <w:sz w:val="20"/>
      <w:szCs w:val="20"/>
    </w:rPr>
  </w:style>
  <w:style w:type="paragraph" w:styleId="Asuntodelcomentario">
    <w:name w:val="annotation subject"/>
    <w:basedOn w:val="Textocomentario"/>
    <w:next w:val="Textocomentario"/>
    <w:link w:val="AsuntodelcomentarioCar"/>
    <w:uiPriority w:val="99"/>
    <w:semiHidden/>
    <w:unhideWhenUsed/>
    <w:rsid w:val="00345049"/>
    <w:rPr>
      <w:b/>
      <w:bCs/>
    </w:rPr>
  </w:style>
  <w:style w:type="character" w:customStyle="1" w:styleId="AsuntodelcomentarioCar">
    <w:name w:val="Asunto del comentario Car"/>
    <w:basedOn w:val="TextocomentarioCar"/>
    <w:link w:val="Asuntodelcomentario"/>
    <w:uiPriority w:val="99"/>
    <w:semiHidden/>
    <w:rsid w:val="00345049"/>
    <w:rPr>
      <w:b/>
      <w:bCs/>
      <w:sz w:val="20"/>
      <w:szCs w:val="20"/>
    </w:rPr>
  </w:style>
  <w:style w:type="paragraph" w:styleId="Encabezado">
    <w:name w:val="header"/>
    <w:basedOn w:val="Normal"/>
    <w:link w:val="EncabezadoCar"/>
    <w:uiPriority w:val="99"/>
    <w:semiHidden/>
    <w:unhideWhenUsed/>
    <w:rsid w:val="00185F3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85F38"/>
  </w:style>
  <w:style w:type="paragraph" w:styleId="Piedepgina">
    <w:name w:val="footer"/>
    <w:basedOn w:val="Normal"/>
    <w:link w:val="PiedepginaCar"/>
    <w:uiPriority w:val="99"/>
    <w:semiHidden/>
    <w:unhideWhenUsed/>
    <w:rsid w:val="00185F38"/>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185F38"/>
  </w:style>
  <w:style w:type="character" w:customStyle="1" w:styleId="Ttulo1Car">
    <w:name w:val="Título 1 Car"/>
    <w:basedOn w:val="Fuentedeprrafopredeter"/>
    <w:link w:val="Ttulo1"/>
    <w:uiPriority w:val="9"/>
    <w:rsid w:val="00A27EFF"/>
    <w:rPr>
      <w:rFonts w:ascii="Times New Roman" w:eastAsia="Times New Roman" w:hAnsi="Times New Roman" w:cs="Times New Roman"/>
      <w:b/>
      <w:bCs/>
      <w:kern w:val="36"/>
      <w:sz w:val="48"/>
      <w:szCs w:val="48"/>
    </w:rPr>
  </w:style>
  <w:style w:type="character" w:customStyle="1" w:styleId="st">
    <w:name w:val="st"/>
    <w:basedOn w:val="Fuentedeprrafopredeter"/>
    <w:rsid w:val="009C1581"/>
  </w:style>
  <w:style w:type="character" w:styleId="nfasis">
    <w:name w:val="Emphasis"/>
    <w:basedOn w:val="Fuentedeprrafopredeter"/>
    <w:uiPriority w:val="20"/>
    <w:qFormat/>
    <w:rsid w:val="009C1581"/>
    <w:rPr>
      <w:i/>
      <w:iCs/>
    </w:rPr>
  </w:style>
  <w:style w:type="paragraph" w:styleId="Revisin">
    <w:name w:val="Revision"/>
    <w:hidden/>
    <w:uiPriority w:val="99"/>
    <w:semiHidden/>
    <w:rsid w:val="00E73419"/>
    <w:pPr>
      <w:spacing w:after="0" w:line="240" w:lineRule="auto"/>
    </w:pPr>
    <w:rPr>
      <w:rFonts w:ascii="Arial" w:hAnsi="Arial" w:cs="Arial"/>
      <w:sz w:val="24"/>
      <w:szCs w:val="24"/>
    </w:rPr>
  </w:style>
  <w:style w:type="character" w:customStyle="1" w:styleId="hps">
    <w:name w:val="hps"/>
    <w:basedOn w:val="Fuentedeprrafopredeter"/>
    <w:rsid w:val="005E4DCA"/>
  </w:style>
  <w:style w:type="character" w:customStyle="1" w:styleId="atn">
    <w:name w:val="atn"/>
    <w:basedOn w:val="Fuentedeprrafopredeter"/>
    <w:rsid w:val="005E4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31"/>
    <w:pPr>
      <w:autoSpaceDE w:val="0"/>
      <w:autoSpaceDN w:val="0"/>
      <w:adjustRightInd w:val="0"/>
      <w:spacing w:after="0" w:line="480" w:lineRule="auto"/>
      <w:jc w:val="both"/>
    </w:pPr>
    <w:rPr>
      <w:rFonts w:ascii="Arial" w:hAnsi="Arial" w:cs="Arial"/>
      <w:sz w:val="24"/>
      <w:szCs w:val="24"/>
    </w:rPr>
  </w:style>
  <w:style w:type="paragraph" w:styleId="Ttulo1">
    <w:name w:val="heading 1"/>
    <w:basedOn w:val="Normal"/>
    <w:link w:val="Ttulo1Car"/>
    <w:uiPriority w:val="9"/>
    <w:qFormat/>
    <w:rsid w:val="00A27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0CD"/>
    <w:pPr>
      <w:ind w:left="720"/>
      <w:contextualSpacing/>
    </w:pPr>
  </w:style>
  <w:style w:type="character" w:styleId="Textodelmarcadordeposicin">
    <w:name w:val="Placeholder Text"/>
    <w:basedOn w:val="Fuentedeprrafopredeter"/>
    <w:uiPriority w:val="99"/>
    <w:semiHidden/>
    <w:rsid w:val="00062AED"/>
    <w:rPr>
      <w:color w:val="808080"/>
    </w:rPr>
  </w:style>
  <w:style w:type="paragraph" w:styleId="Textodeglobo">
    <w:name w:val="Balloon Text"/>
    <w:basedOn w:val="Normal"/>
    <w:link w:val="TextodegloboCar"/>
    <w:uiPriority w:val="99"/>
    <w:semiHidden/>
    <w:unhideWhenUsed/>
    <w:rsid w:val="00062A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AED"/>
    <w:rPr>
      <w:rFonts w:ascii="Tahoma" w:hAnsi="Tahoma" w:cs="Tahoma"/>
      <w:sz w:val="16"/>
      <w:szCs w:val="16"/>
    </w:rPr>
  </w:style>
  <w:style w:type="paragraph" w:styleId="NormalWeb">
    <w:name w:val="Normal (Web)"/>
    <w:basedOn w:val="Normal"/>
    <w:uiPriority w:val="99"/>
    <w:unhideWhenUsed/>
    <w:rsid w:val="006D0572"/>
    <w:pPr>
      <w:spacing w:before="100" w:beforeAutospacing="1" w:after="100" w:afterAutospacing="1" w:line="240" w:lineRule="auto"/>
    </w:pPr>
    <w:rPr>
      <w:rFonts w:ascii="Times New Roman" w:eastAsia="Times New Roman" w:hAnsi="Times New Roman" w:cs="Times New Roman"/>
    </w:rPr>
  </w:style>
  <w:style w:type="paragraph" w:styleId="Textoindependiente">
    <w:name w:val="Body Text"/>
    <w:basedOn w:val="Normal"/>
    <w:link w:val="TextoindependienteCar"/>
    <w:uiPriority w:val="99"/>
    <w:unhideWhenUsed/>
    <w:rsid w:val="006D0572"/>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6D0572"/>
    <w:rPr>
      <w:rFonts w:eastAsiaTheme="minorHAnsi"/>
      <w:lang w:eastAsia="en-US"/>
    </w:rPr>
  </w:style>
  <w:style w:type="table" w:styleId="Tablaconcuadrcula">
    <w:name w:val="Table Grid"/>
    <w:basedOn w:val="Tablanormal"/>
    <w:uiPriority w:val="59"/>
    <w:rsid w:val="00E7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B1D0E"/>
    <w:rPr>
      <w:color w:val="0000FF" w:themeColor="hyperlink"/>
      <w:u w:val="single"/>
    </w:rPr>
  </w:style>
  <w:style w:type="character" w:styleId="Hipervnculovisitado">
    <w:name w:val="FollowedHyperlink"/>
    <w:basedOn w:val="Fuentedeprrafopredeter"/>
    <w:uiPriority w:val="99"/>
    <w:semiHidden/>
    <w:unhideWhenUsed/>
    <w:rsid w:val="001B5235"/>
    <w:rPr>
      <w:color w:val="800080" w:themeColor="followedHyperlink"/>
      <w:u w:val="single"/>
    </w:rPr>
  </w:style>
  <w:style w:type="character" w:styleId="Refdecomentario">
    <w:name w:val="annotation reference"/>
    <w:basedOn w:val="Fuentedeprrafopredeter"/>
    <w:uiPriority w:val="99"/>
    <w:semiHidden/>
    <w:unhideWhenUsed/>
    <w:rsid w:val="00345049"/>
    <w:rPr>
      <w:sz w:val="16"/>
      <w:szCs w:val="16"/>
    </w:rPr>
  </w:style>
  <w:style w:type="paragraph" w:styleId="Textocomentario">
    <w:name w:val="annotation text"/>
    <w:basedOn w:val="Normal"/>
    <w:link w:val="TextocomentarioCar"/>
    <w:uiPriority w:val="99"/>
    <w:unhideWhenUsed/>
    <w:rsid w:val="00345049"/>
    <w:pPr>
      <w:spacing w:line="240" w:lineRule="auto"/>
    </w:pPr>
    <w:rPr>
      <w:sz w:val="20"/>
      <w:szCs w:val="20"/>
    </w:rPr>
  </w:style>
  <w:style w:type="character" w:customStyle="1" w:styleId="TextocomentarioCar">
    <w:name w:val="Texto comentario Car"/>
    <w:basedOn w:val="Fuentedeprrafopredeter"/>
    <w:link w:val="Textocomentario"/>
    <w:uiPriority w:val="99"/>
    <w:rsid w:val="00345049"/>
    <w:rPr>
      <w:sz w:val="20"/>
      <w:szCs w:val="20"/>
    </w:rPr>
  </w:style>
  <w:style w:type="paragraph" w:styleId="Asuntodelcomentario">
    <w:name w:val="annotation subject"/>
    <w:basedOn w:val="Textocomentario"/>
    <w:next w:val="Textocomentario"/>
    <w:link w:val="AsuntodelcomentarioCar"/>
    <w:uiPriority w:val="99"/>
    <w:semiHidden/>
    <w:unhideWhenUsed/>
    <w:rsid w:val="00345049"/>
    <w:rPr>
      <w:b/>
      <w:bCs/>
    </w:rPr>
  </w:style>
  <w:style w:type="character" w:customStyle="1" w:styleId="AsuntodelcomentarioCar">
    <w:name w:val="Asunto del comentario Car"/>
    <w:basedOn w:val="TextocomentarioCar"/>
    <w:link w:val="Asuntodelcomentario"/>
    <w:uiPriority w:val="99"/>
    <w:semiHidden/>
    <w:rsid w:val="00345049"/>
    <w:rPr>
      <w:b/>
      <w:bCs/>
      <w:sz w:val="20"/>
      <w:szCs w:val="20"/>
    </w:rPr>
  </w:style>
  <w:style w:type="paragraph" w:styleId="Encabezado">
    <w:name w:val="header"/>
    <w:basedOn w:val="Normal"/>
    <w:link w:val="EncabezadoCar"/>
    <w:uiPriority w:val="99"/>
    <w:semiHidden/>
    <w:unhideWhenUsed/>
    <w:rsid w:val="00185F3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85F38"/>
  </w:style>
  <w:style w:type="paragraph" w:styleId="Piedepgina">
    <w:name w:val="footer"/>
    <w:basedOn w:val="Normal"/>
    <w:link w:val="PiedepginaCar"/>
    <w:uiPriority w:val="99"/>
    <w:semiHidden/>
    <w:unhideWhenUsed/>
    <w:rsid w:val="00185F38"/>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185F38"/>
  </w:style>
  <w:style w:type="character" w:customStyle="1" w:styleId="Ttulo1Car">
    <w:name w:val="Título 1 Car"/>
    <w:basedOn w:val="Fuentedeprrafopredeter"/>
    <w:link w:val="Ttulo1"/>
    <w:uiPriority w:val="9"/>
    <w:rsid w:val="00A27EFF"/>
    <w:rPr>
      <w:rFonts w:ascii="Times New Roman" w:eastAsia="Times New Roman" w:hAnsi="Times New Roman" w:cs="Times New Roman"/>
      <w:b/>
      <w:bCs/>
      <w:kern w:val="36"/>
      <w:sz w:val="48"/>
      <w:szCs w:val="48"/>
    </w:rPr>
  </w:style>
  <w:style w:type="character" w:customStyle="1" w:styleId="st">
    <w:name w:val="st"/>
    <w:basedOn w:val="Fuentedeprrafopredeter"/>
    <w:rsid w:val="009C1581"/>
  </w:style>
  <w:style w:type="character" w:styleId="nfasis">
    <w:name w:val="Emphasis"/>
    <w:basedOn w:val="Fuentedeprrafopredeter"/>
    <w:uiPriority w:val="20"/>
    <w:qFormat/>
    <w:rsid w:val="009C1581"/>
    <w:rPr>
      <w:i/>
      <w:iCs/>
    </w:rPr>
  </w:style>
  <w:style w:type="paragraph" w:styleId="Revisin">
    <w:name w:val="Revision"/>
    <w:hidden/>
    <w:uiPriority w:val="99"/>
    <w:semiHidden/>
    <w:rsid w:val="00E73419"/>
    <w:pPr>
      <w:spacing w:after="0" w:line="240" w:lineRule="auto"/>
    </w:pPr>
    <w:rPr>
      <w:rFonts w:ascii="Arial" w:hAnsi="Arial" w:cs="Arial"/>
      <w:sz w:val="24"/>
      <w:szCs w:val="24"/>
    </w:rPr>
  </w:style>
  <w:style w:type="character" w:customStyle="1" w:styleId="hps">
    <w:name w:val="hps"/>
    <w:basedOn w:val="Fuentedeprrafopredeter"/>
    <w:rsid w:val="005E4DCA"/>
  </w:style>
  <w:style w:type="character" w:customStyle="1" w:styleId="atn">
    <w:name w:val="atn"/>
    <w:basedOn w:val="Fuentedeprrafopredeter"/>
    <w:rsid w:val="005E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8350">
      <w:bodyDiv w:val="1"/>
      <w:marLeft w:val="0"/>
      <w:marRight w:val="0"/>
      <w:marTop w:val="0"/>
      <w:marBottom w:val="0"/>
      <w:divBdr>
        <w:top w:val="none" w:sz="0" w:space="0" w:color="auto"/>
        <w:left w:val="none" w:sz="0" w:space="0" w:color="auto"/>
        <w:bottom w:val="none" w:sz="0" w:space="0" w:color="auto"/>
        <w:right w:val="none" w:sz="0" w:space="0" w:color="auto"/>
      </w:divBdr>
    </w:div>
    <w:div w:id="226576427">
      <w:bodyDiv w:val="1"/>
      <w:marLeft w:val="0"/>
      <w:marRight w:val="0"/>
      <w:marTop w:val="0"/>
      <w:marBottom w:val="0"/>
      <w:divBdr>
        <w:top w:val="none" w:sz="0" w:space="0" w:color="auto"/>
        <w:left w:val="none" w:sz="0" w:space="0" w:color="auto"/>
        <w:bottom w:val="none" w:sz="0" w:space="0" w:color="auto"/>
        <w:right w:val="none" w:sz="0" w:space="0" w:color="auto"/>
      </w:divBdr>
    </w:div>
    <w:div w:id="276836210">
      <w:bodyDiv w:val="1"/>
      <w:marLeft w:val="0"/>
      <w:marRight w:val="0"/>
      <w:marTop w:val="0"/>
      <w:marBottom w:val="0"/>
      <w:divBdr>
        <w:top w:val="none" w:sz="0" w:space="0" w:color="auto"/>
        <w:left w:val="none" w:sz="0" w:space="0" w:color="auto"/>
        <w:bottom w:val="none" w:sz="0" w:space="0" w:color="auto"/>
        <w:right w:val="none" w:sz="0" w:space="0" w:color="auto"/>
      </w:divBdr>
    </w:div>
    <w:div w:id="434785942">
      <w:bodyDiv w:val="1"/>
      <w:marLeft w:val="0"/>
      <w:marRight w:val="0"/>
      <w:marTop w:val="0"/>
      <w:marBottom w:val="0"/>
      <w:divBdr>
        <w:top w:val="none" w:sz="0" w:space="0" w:color="auto"/>
        <w:left w:val="none" w:sz="0" w:space="0" w:color="auto"/>
        <w:bottom w:val="none" w:sz="0" w:space="0" w:color="auto"/>
        <w:right w:val="none" w:sz="0" w:space="0" w:color="auto"/>
      </w:divBdr>
    </w:div>
    <w:div w:id="528840240">
      <w:bodyDiv w:val="1"/>
      <w:marLeft w:val="0"/>
      <w:marRight w:val="0"/>
      <w:marTop w:val="0"/>
      <w:marBottom w:val="0"/>
      <w:divBdr>
        <w:top w:val="none" w:sz="0" w:space="0" w:color="auto"/>
        <w:left w:val="none" w:sz="0" w:space="0" w:color="auto"/>
        <w:bottom w:val="none" w:sz="0" w:space="0" w:color="auto"/>
        <w:right w:val="none" w:sz="0" w:space="0" w:color="auto"/>
      </w:divBdr>
    </w:div>
    <w:div w:id="574976757">
      <w:bodyDiv w:val="1"/>
      <w:marLeft w:val="0"/>
      <w:marRight w:val="0"/>
      <w:marTop w:val="0"/>
      <w:marBottom w:val="0"/>
      <w:divBdr>
        <w:top w:val="none" w:sz="0" w:space="0" w:color="auto"/>
        <w:left w:val="none" w:sz="0" w:space="0" w:color="auto"/>
        <w:bottom w:val="none" w:sz="0" w:space="0" w:color="auto"/>
        <w:right w:val="none" w:sz="0" w:space="0" w:color="auto"/>
      </w:divBdr>
    </w:div>
    <w:div w:id="591663832">
      <w:bodyDiv w:val="1"/>
      <w:marLeft w:val="0"/>
      <w:marRight w:val="0"/>
      <w:marTop w:val="0"/>
      <w:marBottom w:val="0"/>
      <w:divBdr>
        <w:top w:val="none" w:sz="0" w:space="0" w:color="auto"/>
        <w:left w:val="none" w:sz="0" w:space="0" w:color="auto"/>
        <w:bottom w:val="none" w:sz="0" w:space="0" w:color="auto"/>
        <w:right w:val="none" w:sz="0" w:space="0" w:color="auto"/>
      </w:divBdr>
    </w:div>
    <w:div w:id="611983794">
      <w:bodyDiv w:val="1"/>
      <w:marLeft w:val="0"/>
      <w:marRight w:val="0"/>
      <w:marTop w:val="0"/>
      <w:marBottom w:val="0"/>
      <w:divBdr>
        <w:top w:val="none" w:sz="0" w:space="0" w:color="auto"/>
        <w:left w:val="none" w:sz="0" w:space="0" w:color="auto"/>
        <w:bottom w:val="none" w:sz="0" w:space="0" w:color="auto"/>
        <w:right w:val="none" w:sz="0" w:space="0" w:color="auto"/>
      </w:divBdr>
    </w:div>
    <w:div w:id="811480265">
      <w:bodyDiv w:val="1"/>
      <w:marLeft w:val="0"/>
      <w:marRight w:val="0"/>
      <w:marTop w:val="0"/>
      <w:marBottom w:val="0"/>
      <w:divBdr>
        <w:top w:val="none" w:sz="0" w:space="0" w:color="auto"/>
        <w:left w:val="none" w:sz="0" w:space="0" w:color="auto"/>
        <w:bottom w:val="none" w:sz="0" w:space="0" w:color="auto"/>
        <w:right w:val="none" w:sz="0" w:space="0" w:color="auto"/>
      </w:divBdr>
    </w:div>
    <w:div w:id="832263520">
      <w:bodyDiv w:val="1"/>
      <w:marLeft w:val="0"/>
      <w:marRight w:val="0"/>
      <w:marTop w:val="0"/>
      <w:marBottom w:val="0"/>
      <w:divBdr>
        <w:top w:val="none" w:sz="0" w:space="0" w:color="auto"/>
        <w:left w:val="none" w:sz="0" w:space="0" w:color="auto"/>
        <w:bottom w:val="none" w:sz="0" w:space="0" w:color="auto"/>
        <w:right w:val="none" w:sz="0" w:space="0" w:color="auto"/>
      </w:divBdr>
    </w:div>
    <w:div w:id="1008024236">
      <w:bodyDiv w:val="1"/>
      <w:marLeft w:val="0"/>
      <w:marRight w:val="0"/>
      <w:marTop w:val="0"/>
      <w:marBottom w:val="0"/>
      <w:divBdr>
        <w:top w:val="none" w:sz="0" w:space="0" w:color="auto"/>
        <w:left w:val="none" w:sz="0" w:space="0" w:color="auto"/>
        <w:bottom w:val="none" w:sz="0" w:space="0" w:color="auto"/>
        <w:right w:val="none" w:sz="0" w:space="0" w:color="auto"/>
      </w:divBdr>
    </w:div>
    <w:div w:id="1179007257">
      <w:bodyDiv w:val="1"/>
      <w:marLeft w:val="0"/>
      <w:marRight w:val="0"/>
      <w:marTop w:val="0"/>
      <w:marBottom w:val="0"/>
      <w:divBdr>
        <w:top w:val="none" w:sz="0" w:space="0" w:color="auto"/>
        <w:left w:val="none" w:sz="0" w:space="0" w:color="auto"/>
        <w:bottom w:val="none" w:sz="0" w:space="0" w:color="auto"/>
        <w:right w:val="none" w:sz="0" w:space="0" w:color="auto"/>
      </w:divBdr>
    </w:div>
    <w:div w:id="1257405200">
      <w:bodyDiv w:val="1"/>
      <w:marLeft w:val="0"/>
      <w:marRight w:val="0"/>
      <w:marTop w:val="0"/>
      <w:marBottom w:val="0"/>
      <w:divBdr>
        <w:top w:val="none" w:sz="0" w:space="0" w:color="auto"/>
        <w:left w:val="none" w:sz="0" w:space="0" w:color="auto"/>
        <w:bottom w:val="none" w:sz="0" w:space="0" w:color="auto"/>
        <w:right w:val="none" w:sz="0" w:space="0" w:color="auto"/>
      </w:divBdr>
    </w:div>
    <w:div w:id="1269653836">
      <w:bodyDiv w:val="1"/>
      <w:marLeft w:val="0"/>
      <w:marRight w:val="0"/>
      <w:marTop w:val="0"/>
      <w:marBottom w:val="0"/>
      <w:divBdr>
        <w:top w:val="none" w:sz="0" w:space="0" w:color="auto"/>
        <w:left w:val="none" w:sz="0" w:space="0" w:color="auto"/>
        <w:bottom w:val="none" w:sz="0" w:space="0" w:color="auto"/>
        <w:right w:val="none" w:sz="0" w:space="0" w:color="auto"/>
      </w:divBdr>
      <w:divsChild>
        <w:div w:id="52167689">
          <w:marLeft w:val="0"/>
          <w:marRight w:val="0"/>
          <w:marTop w:val="0"/>
          <w:marBottom w:val="0"/>
          <w:divBdr>
            <w:top w:val="none" w:sz="0" w:space="0" w:color="auto"/>
            <w:left w:val="none" w:sz="0" w:space="0" w:color="auto"/>
            <w:bottom w:val="none" w:sz="0" w:space="0" w:color="auto"/>
            <w:right w:val="none" w:sz="0" w:space="0" w:color="auto"/>
          </w:divBdr>
        </w:div>
        <w:div w:id="1741172453">
          <w:marLeft w:val="0"/>
          <w:marRight w:val="0"/>
          <w:marTop w:val="0"/>
          <w:marBottom w:val="0"/>
          <w:divBdr>
            <w:top w:val="none" w:sz="0" w:space="0" w:color="auto"/>
            <w:left w:val="none" w:sz="0" w:space="0" w:color="auto"/>
            <w:bottom w:val="none" w:sz="0" w:space="0" w:color="auto"/>
            <w:right w:val="none" w:sz="0" w:space="0" w:color="auto"/>
          </w:divBdr>
        </w:div>
        <w:div w:id="556477720">
          <w:marLeft w:val="0"/>
          <w:marRight w:val="0"/>
          <w:marTop w:val="0"/>
          <w:marBottom w:val="0"/>
          <w:divBdr>
            <w:top w:val="none" w:sz="0" w:space="0" w:color="auto"/>
            <w:left w:val="none" w:sz="0" w:space="0" w:color="auto"/>
            <w:bottom w:val="none" w:sz="0" w:space="0" w:color="auto"/>
            <w:right w:val="none" w:sz="0" w:space="0" w:color="auto"/>
          </w:divBdr>
        </w:div>
        <w:div w:id="402722257">
          <w:marLeft w:val="0"/>
          <w:marRight w:val="0"/>
          <w:marTop w:val="0"/>
          <w:marBottom w:val="0"/>
          <w:divBdr>
            <w:top w:val="none" w:sz="0" w:space="0" w:color="auto"/>
            <w:left w:val="none" w:sz="0" w:space="0" w:color="auto"/>
            <w:bottom w:val="none" w:sz="0" w:space="0" w:color="auto"/>
            <w:right w:val="none" w:sz="0" w:space="0" w:color="auto"/>
          </w:divBdr>
        </w:div>
        <w:div w:id="706223668">
          <w:marLeft w:val="0"/>
          <w:marRight w:val="0"/>
          <w:marTop w:val="0"/>
          <w:marBottom w:val="0"/>
          <w:divBdr>
            <w:top w:val="none" w:sz="0" w:space="0" w:color="auto"/>
            <w:left w:val="none" w:sz="0" w:space="0" w:color="auto"/>
            <w:bottom w:val="none" w:sz="0" w:space="0" w:color="auto"/>
            <w:right w:val="none" w:sz="0" w:space="0" w:color="auto"/>
          </w:divBdr>
        </w:div>
        <w:div w:id="1093697362">
          <w:marLeft w:val="0"/>
          <w:marRight w:val="0"/>
          <w:marTop w:val="0"/>
          <w:marBottom w:val="0"/>
          <w:divBdr>
            <w:top w:val="none" w:sz="0" w:space="0" w:color="auto"/>
            <w:left w:val="none" w:sz="0" w:space="0" w:color="auto"/>
            <w:bottom w:val="none" w:sz="0" w:space="0" w:color="auto"/>
            <w:right w:val="none" w:sz="0" w:space="0" w:color="auto"/>
          </w:divBdr>
        </w:div>
        <w:div w:id="241378057">
          <w:marLeft w:val="0"/>
          <w:marRight w:val="0"/>
          <w:marTop w:val="0"/>
          <w:marBottom w:val="0"/>
          <w:divBdr>
            <w:top w:val="none" w:sz="0" w:space="0" w:color="auto"/>
            <w:left w:val="none" w:sz="0" w:space="0" w:color="auto"/>
            <w:bottom w:val="none" w:sz="0" w:space="0" w:color="auto"/>
            <w:right w:val="none" w:sz="0" w:space="0" w:color="auto"/>
          </w:divBdr>
        </w:div>
        <w:div w:id="861673727">
          <w:marLeft w:val="0"/>
          <w:marRight w:val="0"/>
          <w:marTop w:val="0"/>
          <w:marBottom w:val="0"/>
          <w:divBdr>
            <w:top w:val="none" w:sz="0" w:space="0" w:color="auto"/>
            <w:left w:val="none" w:sz="0" w:space="0" w:color="auto"/>
            <w:bottom w:val="none" w:sz="0" w:space="0" w:color="auto"/>
            <w:right w:val="none" w:sz="0" w:space="0" w:color="auto"/>
          </w:divBdr>
        </w:div>
        <w:div w:id="2046984075">
          <w:marLeft w:val="0"/>
          <w:marRight w:val="0"/>
          <w:marTop w:val="0"/>
          <w:marBottom w:val="0"/>
          <w:divBdr>
            <w:top w:val="none" w:sz="0" w:space="0" w:color="auto"/>
            <w:left w:val="none" w:sz="0" w:space="0" w:color="auto"/>
            <w:bottom w:val="none" w:sz="0" w:space="0" w:color="auto"/>
            <w:right w:val="none" w:sz="0" w:space="0" w:color="auto"/>
          </w:divBdr>
        </w:div>
        <w:div w:id="629240698">
          <w:marLeft w:val="0"/>
          <w:marRight w:val="0"/>
          <w:marTop w:val="0"/>
          <w:marBottom w:val="0"/>
          <w:divBdr>
            <w:top w:val="none" w:sz="0" w:space="0" w:color="auto"/>
            <w:left w:val="none" w:sz="0" w:space="0" w:color="auto"/>
            <w:bottom w:val="none" w:sz="0" w:space="0" w:color="auto"/>
            <w:right w:val="none" w:sz="0" w:space="0" w:color="auto"/>
          </w:divBdr>
        </w:div>
        <w:div w:id="725491015">
          <w:marLeft w:val="0"/>
          <w:marRight w:val="0"/>
          <w:marTop w:val="0"/>
          <w:marBottom w:val="0"/>
          <w:divBdr>
            <w:top w:val="none" w:sz="0" w:space="0" w:color="auto"/>
            <w:left w:val="none" w:sz="0" w:space="0" w:color="auto"/>
            <w:bottom w:val="none" w:sz="0" w:space="0" w:color="auto"/>
            <w:right w:val="none" w:sz="0" w:space="0" w:color="auto"/>
          </w:divBdr>
        </w:div>
        <w:div w:id="709845912">
          <w:marLeft w:val="0"/>
          <w:marRight w:val="0"/>
          <w:marTop w:val="0"/>
          <w:marBottom w:val="0"/>
          <w:divBdr>
            <w:top w:val="none" w:sz="0" w:space="0" w:color="auto"/>
            <w:left w:val="none" w:sz="0" w:space="0" w:color="auto"/>
            <w:bottom w:val="none" w:sz="0" w:space="0" w:color="auto"/>
            <w:right w:val="none" w:sz="0" w:space="0" w:color="auto"/>
          </w:divBdr>
        </w:div>
        <w:div w:id="1392075221">
          <w:marLeft w:val="0"/>
          <w:marRight w:val="0"/>
          <w:marTop w:val="0"/>
          <w:marBottom w:val="0"/>
          <w:divBdr>
            <w:top w:val="none" w:sz="0" w:space="0" w:color="auto"/>
            <w:left w:val="none" w:sz="0" w:space="0" w:color="auto"/>
            <w:bottom w:val="none" w:sz="0" w:space="0" w:color="auto"/>
            <w:right w:val="none" w:sz="0" w:space="0" w:color="auto"/>
          </w:divBdr>
        </w:div>
        <w:div w:id="1001352584">
          <w:marLeft w:val="0"/>
          <w:marRight w:val="0"/>
          <w:marTop w:val="0"/>
          <w:marBottom w:val="0"/>
          <w:divBdr>
            <w:top w:val="none" w:sz="0" w:space="0" w:color="auto"/>
            <w:left w:val="none" w:sz="0" w:space="0" w:color="auto"/>
            <w:bottom w:val="none" w:sz="0" w:space="0" w:color="auto"/>
            <w:right w:val="none" w:sz="0" w:space="0" w:color="auto"/>
          </w:divBdr>
        </w:div>
        <w:div w:id="360713326">
          <w:marLeft w:val="0"/>
          <w:marRight w:val="0"/>
          <w:marTop w:val="0"/>
          <w:marBottom w:val="0"/>
          <w:divBdr>
            <w:top w:val="none" w:sz="0" w:space="0" w:color="auto"/>
            <w:left w:val="none" w:sz="0" w:space="0" w:color="auto"/>
            <w:bottom w:val="none" w:sz="0" w:space="0" w:color="auto"/>
            <w:right w:val="none" w:sz="0" w:space="0" w:color="auto"/>
          </w:divBdr>
        </w:div>
        <w:div w:id="1593395558">
          <w:marLeft w:val="0"/>
          <w:marRight w:val="0"/>
          <w:marTop w:val="0"/>
          <w:marBottom w:val="0"/>
          <w:divBdr>
            <w:top w:val="none" w:sz="0" w:space="0" w:color="auto"/>
            <w:left w:val="none" w:sz="0" w:space="0" w:color="auto"/>
            <w:bottom w:val="none" w:sz="0" w:space="0" w:color="auto"/>
            <w:right w:val="none" w:sz="0" w:space="0" w:color="auto"/>
          </w:divBdr>
        </w:div>
        <w:div w:id="1492598523">
          <w:marLeft w:val="0"/>
          <w:marRight w:val="0"/>
          <w:marTop w:val="0"/>
          <w:marBottom w:val="0"/>
          <w:divBdr>
            <w:top w:val="none" w:sz="0" w:space="0" w:color="auto"/>
            <w:left w:val="none" w:sz="0" w:space="0" w:color="auto"/>
            <w:bottom w:val="none" w:sz="0" w:space="0" w:color="auto"/>
            <w:right w:val="none" w:sz="0" w:space="0" w:color="auto"/>
          </w:divBdr>
        </w:div>
        <w:div w:id="1360593523">
          <w:marLeft w:val="0"/>
          <w:marRight w:val="0"/>
          <w:marTop w:val="0"/>
          <w:marBottom w:val="0"/>
          <w:divBdr>
            <w:top w:val="none" w:sz="0" w:space="0" w:color="auto"/>
            <w:left w:val="none" w:sz="0" w:space="0" w:color="auto"/>
            <w:bottom w:val="none" w:sz="0" w:space="0" w:color="auto"/>
            <w:right w:val="none" w:sz="0" w:space="0" w:color="auto"/>
          </w:divBdr>
        </w:div>
        <w:div w:id="113599675">
          <w:marLeft w:val="0"/>
          <w:marRight w:val="0"/>
          <w:marTop w:val="0"/>
          <w:marBottom w:val="0"/>
          <w:divBdr>
            <w:top w:val="none" w:sz="0" w:space="0" w:color="auto"/>
            <w:left w:val="none" w:sz="0" w:space="0" w:color="auto"/>
            <w:bottom w:val="none" w:sz="0" w:space="0" w:color="auto"/>
            <w:right w:val="none" w:sz="0" w:space="0" w:color="auto"/>
          </w:divBdr>
        </w:div>
        <w:div w:id="92480676">
          <w:marLeft w:val="0"/>
          <w:marRight w:val="0"/>
          <w:marTop w:val="0"/>
          <w:marBottom w:val="0"/>
          <w:divBdr>
            <w:top w:val="none" w:sz="0" w:space="0" w:color="auto"/>
            <w:left w:val="none" w:sz="0" w:space="0" w:color="auto"/>
            <w:bottom w:val="none" w:sz="0" w:space="0" w:color="auto"/>
            <w:right w:val="none" w:sz="0" w:space="0" w:color="auto"/>
          </w:divBdr>
        </w:div>
        <w:div w:id="1299533815">
          <w:marLeft w:val="0"/>
          <w:marRight w:val="0"/>
          <w:marTop w:val="0"/>
          <w:marBottom w:val="0"/>
          <w:divBdr>
            <w:top w:val="none" w:sz="0" w:space="0" w:color="auto"/>
            <w:left w:val="none" w:sz="0" w:space="0" w:color="auto"/>
            <w:bottom w:val="none" w:sz="0" w:space="0" w:color="auto"/>
            <w:right w:val="none" w:sz="0" w:space="0" w:color="auto"/>
          </w:divBdr>
        </w:div>
      </w:divsChild>
    </w:div>
    <w:div w:id="1547326897">
      <w:bodyDiv w:val="1"/>
      <w:marLeft w:val="0"/>
      <w:marRight w:val="0"/>
      <w:marTop w:val="0"/>
      <w:marBottom w:val="0"/>
      <w:divBdr>
        <w:top w:val="none" w:sz="0" w:space="0" w:color="auto"/>
        <w:left w:val="none" w:sz="0" w:space="0" w:color="auto"/>
        <w:bottom w:val="none" w:sz="0" w:space="0" w:color="auto"/>
        <w:right w:val="none" w:sz="0" w:space="0" w:color="auto"/>
      </w:divBdr>
    </w:div>
    <w:div w:id="1561095675">
      <w:bodyDiv w:val="1"/>
      <w:marLeft w:val="0"/>
      <w:marRight w:val="0"/>
      <w:marTop w:val="0"/>
      <w:marBottom w:val="0"/>
      <w:divBdr>
        <w:top w:val="none" w:sz="0" w:space="0" w:color="auto"/>
        <w:left w:val="none" w:sz="0" w:space="0" w:color="auto"/>
        <w:bottom w:val="none" w:sz="0" w:space="0" w:color="auto"/>
        <w:right w:val="none" w:sz="0" w:space="0" w:color="auto"/>
      </w:divBdr>
    </w:div>
    <w:div w:id="1606693438">
      <w:bodyDiv w:val="1"/>
      <w:marLeft w:val="0"/>
      <w:marRight w:val="0"/>
      <w:marTop w:val="0"/>
      <w:marBottom w:val="0"/>
      <w:divBdr>
        <w:top w:val="none" w:sz="0" w:space="0" w:color="auto"/>
        <w:left w:val="none" w:sz="0" w:space="0" w:color="auto"/>
        <w:bottom w:val="none" w:sz="0" w:space="0" w:color="auto"/>
        <w:right w:val="none" w:sz="0" w:space="0" w:color="auto"/>
      </w:divBdr>
    </w:div>
    <w:div w:id="1701853761">
      <w:bodyDiv w:val="1"/>
      <w:marLeft w:val="0"/>
      <w:marRight w:val="0"/>
      <w:marTop w:val="0"/>
      <w:marBottom w:val="0"/>
      <w:divBdr>
        <w:top w:val="none" w:sz="0" w:space="0" w:color="auto"/>
        <w:left w:val="none" w:sz="0" w:space="0" w:color="auto"/>
        <w:bottom w:val="none" w:sz="0" w:space="0" w:color="auto"/>
        <w:right w:val="none" w:sz="0" w:space="0" w:color="auto"/>
      </w:divBdr>
    </w:div>
    <w:div w:id="19595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B6FC-43F5-4248-B469-D34064B0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5843</Words>
  <Characters>32139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UDEA</Company>
  <LinksUpToDate>false</LinksUpToDate>
  <CharactersWithSpaces>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Ibeth</dc:creator>
  <cp:lastModifiedBy>Jaiberth Cardona</cp:lastModifiedBy>
  <cp:revision>2</cp:revision>
  <dcterms:created xsi:type="dcterms:W3CDTF">2013-03-01T13:50:00Z</dcterms:created>
  <dcterms:modified xsi:type="dcterms:W3CDTF">2013-03-01T13:50:00Z</dcterms:modified>
</cp:coreProperties>
</file>