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08" w:rsidRDefault="00965508" w:rsidP="00965508">
      <w:pPr>
        <w:tabs>
          <w:tab w:val="left" w:pos="3369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C3CA3D3" wp14:editId="1D65C54C">
            <wp:extent cx="5971540" cy="4519930"/>
            <wp:effectExtent l="0" t="0" r="0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EC2.tif"/>
                    <pic:cNvPicPr/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451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508" w:rsidRPr="0040543B" w:rsidRDefault="00965508" w:rsidP="00965508">
      <w:pPr>
        <w:tabs>
          <w:tab w:val="left" w:pos="3369"/>
        </w:tabs>
        <w:spacing w:line="48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Figura 1. </w:t>
      </w:r>
      <w:r w:rsidRPr="0058404A">
        <w:rPr>
          <w:rFonts w:ascii="Arial" w:eastAsia="Calibri" w:hAnsi="Arial" w:cs="Arial"/>
          <w:i/>
          <w:sz w:val="24"/>
          <w:szCs w:val="24"/>
        </w:rPr>
        <w:t xml:space="preserve">E. coli  </w:t>
      </w:r>
      <w:r>
        <w:rPr>
          <w:rFonts w:ascii="Arial" w:eastAsia="Calibri" w:hAnsi="Arial" w:cs="Arial"/>
          <w:sz w:val="24"/>
          <w:szCs w:val="24"/>
        </w:rPr>
        <w:t xml:space="preserve">Enteropatógena. </w:t>
      </w:r>
      <w:r>
        <w:rPr>
          <w:rFonts w:ascii="Arial" w:eastAsia="Calibri" w:hAnsi="Arial" w:cs="Arial"/>
        </w:rPr>
        <w:t>La adherencia de ECEP está</w:t>
      </w:r>
      <w:r w:rsidRPr="00DB43F8">
        <w:rPr>
          <w:rFonts w:ascii="Arial" w:eastAsia="Calibri" w:hAnsi="Arial" w:cs="Arial"/>
        </w:rPr>
        <w:t xml:space="preserve"> mediada por un flagelo y por</w:t>
      </w:r>
      <w:r>
        <w:rPr>
          <w:rFonts w:ascii="Arial" w:eastAsia="Calibri" w:hAnsi="Arial" w:cs="Arial"/>
        </w:rPr>
        <w:t xml:space="preserve"> el</w:t>
      </w:r>
      <w:r w:rsidRPr="00DB43F8">
        <w:rPr>
          <w:rFonts w:ascii="Arial" w:eastAsia="Calibri" w:hAnsi="Arial" w:cs="Arial"/>
        </w:rPr>
        <w:t xml:space="preserve"> </w:t>
      </w:r>
      <w:proofErr w:type="spellStart"/>
      <w:r w:rsidRPr="00DB43F8">
        <w:rPr>
          <w:rFonts w:ascii="Arial" w:eastAsia="Calibri" w:hAnsi="Arial" w:cs="Arial"/>
        </w:rPr>
        <w:t>pili</w:t>
      </w:r>
      <w:proofErr w:type="spellEnd"/>
      <w:r w:rsidRPr="00DB43F8">
        <w:rPr>
          <w:rFonts w:ascii="Arial" w:eastAsia="Calibri" w:hAnsi="Arial" w:cs="Arial"/>
        </w:rPr>
        <w:t xml:space="preserve"> tipo IV</w:t>
      </w:r>
      <w:r>
        <w:rPr>
          <w:rFonts w:ascii="Arial" w:eastAsia="Calibri" w:hAnsi="Arial" w:cs="Arial"/>
        </w:rPr>
        <w:t xml:space="preserve"> </w:t>
      </w:r>
      <w:r w:rsidRPr="00DB43F8">
        <w:rPr>
          <w:rFonts w:ascii="Arial" w:eastAsia="Calibri" w:hAnsi="Arial" w:cs="Arial"/>
        </w:rPr>
        <w:t>(BFP)</w:t>
      </w:r>
      <w:r>
        <w:rPr>
          <w:rFonts w:ascii="Arial" w:eastAsia="Calibri" w:hAnsi="Arial" w:cs="Arial"/>
        </w:rPr>
        <w:t xml:space="preserve"> que también une las bacterias entre si formando microcolonias, permitiendo que estas se separen y colonicen</w:t>
      </w:r>
      <w:r w:rsidRPr="00DB43F8">
        <w:rPr>
          <w:rFonts w:ascii="Arial" w:eastAsia="Calibri" w:hAnsi="Arial" w:cs="Arial"/>
        </w:rPr>
        <w:t>. EPEC y STEC tienen un sistema de secreción (T3SS) que inyecta proteínas en la célula, dentro de ellas se encue</w:t>
      </w:r>
      <w:r>
        <w:rPr>
          <w:rFonts w:ascii="Arial" w:eastAsia="Calibri" w:hAnsi="Arial" w:cs="Arial"/>
        </w:rPr>
        <w:t xml:space="preserve">ntra </w:t>
      </w:r>
      <w:proofErr w:type="spellStart"/>
      <w:r>
        <w:rPr>
          <w:rFonts w:ascii="Arial" w:eastAsia="Calibri" w:hAnsi="Arial" w:cs="Arial"/>
        </w:rPr>
        <w:t>EspF</w:t>
      </w:r>
      <w:proofErr w:type="spellEnd"/>
      <w:r>
        <w:rPr>
          <w:rFonts w:ascii="Arial" w:eastAsia="Calibri" w:hAnsi="Arial" w:cs="Arial"/>
        </w:rPr>
        <w:t xml:space="preserve"> que se dirige al </w:t>
      </w:r>
      <w:proofErr w:type="spellStart"/>
      <w:r>
        <w:rPr>
          <w:rFonts w:ascii="Arial" w:eastAsia="Calibri" w:hAnsi="Arial" w:cs="Arial"/>
        </w:rPr>
        <w:t>nucle</w:t>
      </w:r>
      <w:r w:rsidRPr="00DB43F8">
        <w:rPr>
          <w:rFonts w:ascii="Arial" w:eastAsia="Calibri" w:hAnsi="Arial" w:cs="Arial"/>
        </w:rPr>
        <w:t>olo</w:t>
      </w:r>
      <w:proofErr w:type="spellEnd"/>
      <w:r w:rsidRPr="00DB43F8">
        <w:rPr>
          <w:rFonts w:ascii="Arial" w:eastAsia="Calibri" w:hAnsi="Arial" w:cs="Arial"/>
        </w:rPr>
        <w:t xml:space="preserve"> donde bloquea el proceso del </w:t>
      </w:r>
      <w:proofErr w:type="spellStart"/>
      <w:r w:rsidRPr="00DB43F8">
        <w:rPr>
          <w:rFonts w:ascii="Arial" w:eastAsia="Calibri" w:hAnsi="Arial" w:cs="Arial"/>
        </w:rPr>
        <w:t>ARNr</w:t>
      </w:r>
      <w:proofErr w:type="spellEnd"/>
      <w:r>
        <w:rPr>
          <w:rFonts w:ascii="Arial" w:eastAsia="Calibri" w:hAnsi="Arial" w:cs="Arial"/>
        </w:rPr>
        <w:t xml:space="preserve">. </w:t>
      </w:r>
      <w:proofErr w:type="spellStart"/>
      <w:r w:rsidRPr="00DB43F8">
        <w:rPr>
          <w:rFonts w:ascii="Arial" w:eastAsia="Calibri" w:hAnsi="Arial" w:cs="Arial"/>
        </w:rPr>
        <w:t>Map</w:t>
      </w:r>
      <w:proofErr w:type="spellEnd"/>
      <w:r w:rsidRPr="00DB43F8">
        <w:rPr>
          <w:rFonts w:ascii="Arial" w:eastAsia="Calibri" w:hAnsi="Arial" w:cs="Arial"/>
        </w:rPr>
        <w:t xml:space="preserve"> que induce</w:t>
      </w:r>
      <w:r>
        <w:rPr>
          <w:rFonts w:ascii="Arial" w:eastAsia="Calibri" w:hAnsi="Arial" w:cs="Arial"/>
        </w:rPr>
        <w:t xml:space="preserve"> </w:t>
      </w:r>
      <w:r w:rsidRPr="00DB43F8">
        <w:rPr>
          <w:rFonts w:ascii="Arial" w:eastAsia="Calibri" w:hAnsi="Arial" w:cs="Arial"/>
        </w:rPr>
        <w:t xml:space="preserve">la formación de </w:t>
      </w:r>
      <w:proofErr w:type="spellStart"/>
      <w:r w:rsidRPr="00DB43F8">
        <w:rPr>
          <w:rFonts w:ascii="Arial" w:eastAsia="Calibri" w:hAnsi="Arial" w:cs="Arial"/>
        </w:rPr>
        <w:t>filopodios</w:t>
      </w:r>
      <w:proofErr w:type="spellEnd"/>
      <w:r w:rsidRPr="00DB43F8">
        <w:rPr>
          <w:rFonts w:ascii="Arial" w:eastAsia="Calibri" w:hAnsi="Arial" w:cs="Arial"/>
        </w:rPr>
        <w:t xml:space="preserve"> activando una </w:t>
      </w:r>
      <w:proofErr w:type="spellStart"/>
      <w:r w:rsidRPr="00DB43F8">
        <w:rPr>
          <w:rFonts w:ascii="Arial" w:eastAsia="Calibri" w:hAnsi="Arial" w:cs="Arial"/>
        </w:rPr>
        <w:t>GTPasa</w:t>
      </w:r>
      <w:proofErr w:type="spellEnd"/>
      <w:r w:rsidRPr="00DB43F8">
        <w:rPr>
          <w:rFonts w:ascii="Arial" w:eastAsia="Calibri" w:hAnsi="Arial" w:cs="Arial"/>
        </w:rPr>
        <w:t xml:space="preserve"> </w:t>
      </w:r>
      <w:proofErr w:type="spellStart"/>
      <w:r w:rsidRPr="00DB43F8">
        <w:rPr>
          <w:rFonts w:ascii="Arial" w:eastAsia="Calibri" w:hAnsi="Arial" w:cs="Arial"/>
        </w:rPr>
        <w:t>Cdc</w:t>
      </w:r>
      <w:proofErr w:type="spellEnd"/>
      <w:r w:rsidRPr="00DB43F8">
        <w:rPr>
          <w:rFonts w:ascii="Arial" w:eastAsia="Calibri" w:hAnsi="Arial" w:cs="Arial"/>
        </w:rPr>
        <w:t xml:space="preserve"> 42</w:t>
      </w:r>
      <w:r>
        <w:rPr>
          <w:rFonts w:ascii="Arial" w:eastAsia="Calibri" w:hAnsi="Arial" w:cs="Arial"/>
        </w:rPr>
        <w:t>, aunque solo es momentáneo por</w:t>
      </w:r>
      <w:r w:rsidRPr="00DB43F8">
        <w:rPr>
          <w:rFonts w:ascii="Arial" w:eastAsia="Calibri" w:hAnsi="Arial" w:cs="Arial"/>
        </w:rPr>
        <w:t xml:space="preserve">que después </w:t>
      </w:r>
      <w:proofErr w:type="spellStart"/>
      <w:r w:rsidRPr="00DB43F8">
        <w:rPr>
          <w:rFonts w:ascii="Arial" w:eastAsia="Calibri" w:hAnsi="Arial" w:cs="Arial"/>
        </w:rPr>
        <w:t>EspH</w:t>
      </w:r>
      <w:proofErr w:type="spellEnd"/>
      <w:r w:rsidRPr="00DB43F8">
        <w:rPr>
          <w:rFonts w:ascii="Arial" w:eastAsia="Calibri" w:hAnsi="Arial" w:cs="Arial"/>
        </w:rPr>
        <w:t xml:space="preserve"> interrumpe esta fo</w:t>
      </w:r>
      <w:r>
        <w:rPr>
          <w:rFonts w:ascii="Arial" w:eastAsia="Calibri" w:hAnsi="Arial" w:cs="Arial"/>
        </w:rPr>
        <w:t>rm</w:t>
      </w:r>
      <w:r w:rsidRPr="00DB43F8">
        <w:rPr>
          <w:rFonts w:ascii="Arial" w:eastAsia="Calibri" w:hAnsi="Arial" w:cs="Arial"/>
        </w:rPr>
        <w:t xml:space="preserve">ación para que otra proteína llamada Tir unida a la intimina (proteína de la membrana externa de la bacteria)  se </w:t>
      </w:r>
      <w:proofErr w:type="spellStart"/>
      <w:r w:rsidRPr="00DB43F8">
        <w:rPr>
          <w:rFonts w:ascii="Arial" w:eastAsia="Calibri" w:hAnsi="Arial" w:cs="Arial"/>
        </w:rPr>
        <w:t>fosforile</w:t>
      </w:r>
      <w:proofErr w:type="spellEnd"/>
      <w:r w:rsidRPr="00DB43F8">
        <w:rPr>
          <w:rFonts w:ascii="Arial" w:eastAsia="Calibri" w:hAnsi="Arial" w:cs="Arial"/>
        </w:rPr>
        <w:t xml:space="preserve"> en tirosina 474</w:t>
      </w:r>
      <w:r>
        <w:rPr>
          <w:rFonts w:ascii="Arial" w:eastAsia="Calibri" w:hAnsi="Arial" w:cs="Arial"/>
        </w:rPr>
        <w:t xml:space="preserve">, </w:t>
      </w:r>
      <w:r w:rsidRPr="00DB43F8">
        <w:rPr>
          <w:rFonts w:ascii="Arial" w:eastAsia="Calibri" w:hAnsi="Arial" w:cs="Arial"/>
        </w:rPr>
        <w:t xml:space="preserve">el cual se une a proteínas adaptadoras como </w:t>
      </w:r>
      <w:proofErr w:type="spellStart"/>
      <w:r w:rsidRPr="00DB43F8">
        <w:rPr>
          <w:rFonts w:ascii="Arial" w:eastAsia="Calibri" w:hAnsi="Arial" w:cs="Arial"/>
        </w:rPr>
        <w:t>Nck</w:t>
      </w:r>
      <w:proofErr w:type="spellEnd"/>
      <w:r w:rsidRPr="00DB43F8">
        <w:rPr>
          <w:rFonts w:ascii="Arial" w:eastAsia="Calibri" w:hAnsi="Arial" w:cs="Arial"/>
        </w:rPr>
        <w:t xml:space="preserve"> o </w:t>
      </w:r>
      <w:proofErr w:type="spellStart"/>
      <w:r w:rsidRPr="00DB43F8">
        <w:rPr>
          <w:rFonts w:ascii="Arial" w:eastAsia="Calibri" w:hAnsi="Arial" w:cs="Arial"/>
        </w:rPr>
        <w:t>CrK</w:t>
      </w:r>
      <w:proofErr w:type="spellEnd"/>
      <w:r w:rsidRPr="00DB43F8">
        <w:rPr>
          <w:rFonts w:ascii="Arial" w:eastAsia="Calibri" w:hAnsi="Arial" w:cs="Arial"/>
        </w:rPr>
        <w:t xml:space="preserve">. </w:t>
      </w:r>
      <w:proofErr w:type="spellStart"/>
      <w:r w:rsidRPr="00DB43F8">
        <w:rPr>
          <w:rFonts w:ascii="Arial" w:eastAsia="Calibri" w:hAnsi="Arial" w:cs="Arial"/>
        </w:rPr>
        <w:t>NcK</w:t>
      </w:r>
      <w:proofErr w:type="spellEnd"/>
      <w:r w:rsidRPr="00DB43F8">
        <w:rPr>
          <w:rFonts w:ascii="Arial" w:eastAsia="Calibri" w:hAnsi="Arial" w:cs="Arial"/>
        </w:rPr>
        <w:t xml:space="preserve"> activ</w:t>
      </w:r>
      <w:r>
        <w:rPr>
          <w:rFonts w:ascii="Arial" w:eastAsia="Calibri" w:hAnsi="Arial" w:cs="Arial"/>
        </w:rPr>
        <w:t>a  a N-WASP que a su vez activa</w:t>
      </w:r>
      <w:r w:rsidRPr="00DB43F8">
        <w:rPr>
          <w:rFonts w:ascii="Arial" w:eastAsia="Calibri" w:hAnsi="Arial" w:cs="Arial"/>
        </w:rPr>
        <w:t xml:space="preserve"> </w:t>
      </w:r>
      <w:proofErr w:type="spellStart"/>
      <w:r w:rsidRPr="00DB43F8">
        <w:rPr>
          <w:rFonts w:ascii="Arial" w:eastAsia="Calibri" w:hAnsi="Arial" w:cs="Arial"/>
        </w:rPr>
        <w:t>Arp</w:t>
      </w:r>
      <w:proofErr w:type="spellEnd"/>
      <w:r w:rsidRPr="00DB43F8">
        <w:rPr>
          <w:rFonts w:ascii="Arial" w:eastAsia="Calibri" w:hAnsi="Arial" w:cs="Arial"/>
        </w:rPr>
        <w:t xml:space="preserve"> 2/3</w:t>
      </w:r>
      <w:r>
        <w:rPr>
          <w:rFonts w:ascii="Arial" w:eastAsia="Calibri" w:hAnsi="Arial" w:cs="Arial"/>
        </w:rPr>
        <w:t xml:space="preserve">, </w:t>
      </w:r>
      <w:r w:rsidRPr="00DB43F8">
        <w:rPr>
          <w:rFonts w:ascii="Arial" w:eastAsia="Calibri" w:hAnsi="Arial" w:cs="Arial"/>
        </w:rPr>
        <w:t>mediador de la polimerización de</w:t>
      </w:r>
      <w:r>
        <w:rPr>
          <w:rFonts w:ascii="Arial" w:eastAsia="Calibri" w:hAnsi="Arial" w:cs="Arial"/>
        </w:rPr>
        <w:t xml:space="preserve"> </w:t>
      </w:r>
      <w:r w:rsidRPr="00DB43F8">
        <w:rPr>
          <w:rFonts w:ascii="Arial" w:eastAsia="Calibri" w:hAnsi="Arial" w:cs="Arial"/>
        </w:rPr>
        <w:t>actina</w:t>
      </w:r>
      <w:r>
        <w:rPr>
          <w:rFonts w:ascii="Arial" w:eastAsia="Calibri" w:hAnsi="Arial" w:cs="Arial"/>
        </w:rPr>
        <w:t xml:space="preserve">. La unión Tir-Intimina </w:t>
      </w:r>
      <w:r>
        <w:rPr>
          <w:rFonts w:ascii="Arial" w:eastAsia="Calibri" w:hAnsi="Arial" w:cs="Arial"/>
        </w:rPr>
        <w:lastRenderedPageBreak/>
        <w:t>finalmente provoca la reorganización de la actina, alterando la morfología y formando las lesiones de adhesión y borrado (A/E).</w:t>
      </w:r>
    </w:p>
    <w:p w:rsidR="00AD6FD6" w:rsidRDefault="00AD6FD6">
      <w:bookmarkStart w:id="0" w:name="_GoBack"/>
      <w:bookmarkEnd w:id="0"/>
    </w:p>
    <w:sectPr w:rsidR="00AD6F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08"/>
    <w:rsid w:val="00175FBD"/>
    <w:rsid w:val="00895A5B"/>
    <w:rsid w:val="00965508"/>
    <w:rsid w:val="00AD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508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5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508"/>
    <w:rPr>
      <w:rFonts w:ascii="Tahoma" w:eastAsiaTheme="minorEastAsia" w:hAnsi="Tahoma" w:cs="Tahoma"/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508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5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508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Elvira Farfán García</dc:creator>
  <cp:lastModifiedBy>Ana Elvira Farfán García</cp:lastModifiedBy>
  <cp:revision>1</cp:revision>
  <dcterms:created xsi:type="dcterms:W3CDTF">2014-07-11T17:46:00Z</dcterms:created>
  <dcterms:modified xsi:type="dcterms:W3CDTF">2014-07-11T17:47:00Z</dcterms:modified>
</cp:coreProperties>
</file>