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5F" w:rsidRPr="0058404A" w:rsidRDefault="00590C5F" w:rsidP="00590C5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58404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F648B08" wp14:editId="2F36ACB7">
            <wp:extent cx="5612130" cy="4207180"/>
            <wp:effectExtent l="1905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C5F" w:rsidRPr="0058404A" w:rsidRDefault="00590C5F" w:rsidP="00590C5F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590C5F" w:rsidRPr="0058404A" w:rsidRDefault="00590C5F" w:rsidP="00590C5F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590C5F" w:rsidRPr="00120EFF" w:rsidRDefault="00590C5F" w:rsidP="00590C5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58404A">
        <w:rPr>
          <w:rFonts w:ascii="Arial" w:hAnsi="Arial" w:cs="Arial"/>
          <w:b/>
          <w:sz w:val="24"/>
          <w:szCs w:val="24"/>
        </w:rPr>
        <w:t>Figura 3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58404A">
        <w:rPr>
          <w:rFonts w:ascii="Arial" w:hAnsi="Arial" w:cs="Arial"/>
          <w:i/>
          <w:sz w:val="24"/>
          <w:szCs w:val="24"/>
        </w:rPr>
        <w:t>E. coli</w:t>
      </w:r>
      <w:r w:rsidRPr="00584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404A">
        <w:rPr>
          <w:rFonts w:ascii="Arial" w:hAnsi="Arial" w:cs="Arial"/>
          <w:sz w:val="24"/>
          <w:szCs w:val="24"/>
        </w:rPr>
        <w:t>enterotoxigénica</w:t>
      </w:r>
      <w:proofErr w:type="spellEnd"/>
      <w:r w:rsidRPr="0058404A">
        <w:rPr>
          <w:rFonts w:ascii="Arial" w:hAnsi="Arial" w:cs="Arial"/>
          <w:sz w:val="24"/>
          <w:szCs w:val="24"/>
        </w:rPr>
        <w:t xml:space="preserve">. ETEC se une a los enterocitos por </w:t>
      </w:r>
      <w:proofErr w:type="spellStart"/>
      <w:r w:rsidRPr="0058404A">
        <w:rPr>
          <w:rFonts w:ascii="Arial" w:hAnsi="Arial" w:cs="Arial"/>
          <w:sz w:val="24"/>
          <w:szCs w:val="24"/>
        </w:rPr>
        <w:t>EtpA</w:t>
      </w:r>
      <w:proofErr w:type="spellEnd"/>
      <w:r w:rsidRPr="0058404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8404A">
        <w:rPr>
          <w:rFonts w:ascii="Arial" w:hAnsi="Arial" w:cs="Arial"/>
          <w:sz w:val="24"/>
          <w:szCs w:val="24"/>
        </w:rPr>
        <w:t>EatA</w:t>
      </w:r>
      <w:proofErr w:type="spellEnd"/>
      <w:r w:rsidRPr="0058404A">
        <w:rPr>
          <w:rFonts w:ascii="Arial" w:hAnsi="Arial" w:cs="Arial"/>
          <w:sz w:val="24"/>
          <w:szCs w:val="24"/>
        </w:rPr>
        <w:t xml:space="preserve"> inhibe a </w:t>
      </w:r>
      <w:proofErr w:type="spellStart"/>
      <w:r w:rsidRPr="0058404A">
        <w:rPr>
          <w:rFonts w:ascii="Arial" w:hAnsi="Arial" w:cs="Arial"/>
          <w:sz w:val="24"/>
          <w:szCs w:val="24"/>
        </w:rPr>
        <w:t>EtpA</w:t>
      </w:r>
      <w:proofErr w:type="spellEnd"/>
      <w:r w:rsidRPr="0058404A">
        <w:rPr>
          <w:rFonts w:ascii="Arial" w:hAnsi="Arial" w:cs="Arial"/>
          <w:sz w:val="24"/>
          <w:szCs w:val="24"/>
        </w:rPr>
        <w:t xml:space="preserve"> para lograr la adhesión por </w:t>
      </w:r>
      <w:proofErr w:type="spellStart"/>
      <w:r w:rsidRPr="0058404A">
        <w:rPr>
          <w:rFonts w:ascii="Arial" w:hAnsi="Arial" w:cs="Arial"/>
          <w:sz w:val="24"/>
          <w:szCs w:val="24"/>
        </w:rPr>
        <w:t>CFs</w:t>
      </w:r>
      <w:proofErr w:type="spellEnd"/>
      <w:r w:rsidRPr="005840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404A">
        <w:rPr>
          <w:rFonts w:ascii="Arial" w:hAnsi="Arial" w:cs="Arial"/>
          <w:sz w:val="24"/>
          <w:szCs w:val="24"/>
        </w:rPr>
        <w:t>Tia</w:t>
      </w:r>
      <w:proofErr w:type="spellEnd"/>
      <w:r w:rsidRPr="0058404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8404A">
        <w:rPr>
          <w:rFonts w:ascii="Arial" w:hAnsi="Arial" w:cs="Arial"/>
          <w:sz w:val="24"/>
          <w:szCs w:val="24"/>
        </w:rPr>
        <w:t>TibA</w:t>
      </w:r>
      <w:proofErr w:type="spellEnd"/>
      <w:r w:rsidRPr="0058404A">
        <w:rPr>
          <w:rFonts w:ascii="Arial" w:hAnsi="Arial" w:cs="Arial"/>
          <w:sz w:val="24"/>
          <w:szCs w:val="24"/>
        </w:rPr>
        <w:t xml:space="preserve">. LT se une al GM1 entrando por endocitosis y genera un aumento del </w:t>
      </w:r>
      <w:proofErr w:type="spellStart"/>
      <w:r w:rsidRPr="0058404A">
        <w:rPr>
          <w:rFonts w:ascii="Arial" w:hAnsi="Arial" w:cs="Arial"/>
          <w:sz w:val="24"/>
          <w:szCs w:val="24"/>
        </w:rPr>
        <w:t>AMPc</w:t>
      </w:r>
      <w:proofErr w:type="spellEnd"/>
      <w:r w:rsidRPr="0058404A">
        <w:rPr>
          <w:rFonts w:ascii="Arial" w:hAnsi="Arial" w:cs="Arial"/>
          <w:sz w:val="24"/>
          <w:szCs w:val="24"/>
        </w:rPr>
        <w:t xml:space="preserve">. ST tiene como receptor GC-C donde origina altos niveles de </w:t>
      </w:r>
      <w:proofErr w:type="spellStart"/>
      <w:r w:rsidRPr="0058404A">
        <w:rPr>
          <w:rFonts w:ascii="Arial" w:hAnsi="Arial" w:cs="Arial"/>
          <w:sz w:val="24"/>
          <w:szCs w:val="24"/>
        </w:rPr>
        <w:t>GMPc</w:t>
      </w:r>
      <w:proofErr w:type="spellEnd"/>
      <w:r w:rsidRPr="0058404A">
        <w:rPr>
          <w:rFonts w:ascii="Arial" w:hAnsi="Arial" w:cs="Arial"/>
          <w:sz w:val="24"/>
          <w:szCs w:val="24"/>
        </w:rPr>
        <w:t xml:space="preserve"> para terminar los dos procesos con la secreción de cloruro y demás electrolitos por el canal CFTR.</w:t>
      </w:r>
    </w:p>
    <w:p w:rsidR="00AD6FD6" w:rsidRDefault="00AD6FD6">
      <w:bookmarkStart w:id="0" w:name="_GoBack"/>
      <w:bookmarkEnd w:id="0"/>
    </w:p>
    <w:sectPr w:rsidR="00AD6F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5F"/>
    <w:rsid w:val="00175FBD"/>
    <w:rsid w:val="00590C5F"/>
    <w:rsid w:val="00895A5B"/>
    <w:rsid w:val="00AD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C5F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0C5F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C5F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0C5F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Elvira Farfán García</dc:creator>
  <cp:lastModifiedBy>Ana Elvira Farfán García</cp:lastModifiedBy>
  <cp:revision>1</cp:revision>
  <dcterms:created xsi:type="dcterms:W3CDTF">2014-07-11T17:48:00Z</dcterms:created>
  <dcterms:modified xsi:type="dcterms:W3CDTF">2014-07-11T17:48:00Z</dcterms:modified>
</cp:coreProperties>
</file>